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1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240" w:after="12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Commission file number: 001-41454</w:t>
      </w:r>
    </w:p>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240" w:after="120"/>
        <w:jc w:val="center"/>
        <w:rPr>
          <w:rFonts w:ascii="Times New Roman;serif" w:hAnsi="Times New Roman;serif"/>
          <w:b/>
          <w:color w:val="000000"/>
          <w:sz w:val="48"/>
        </w:rPr>
      </w:pPr>
      <w:r>
        <w:rPr>
          <w:rFonts w:ascii="Times New Roman;serif" w:hAnsi="Times New Roman;serif"/>
          <w:b/>
          <w:color w:val="000000"/>
          <w:sz w:val="48"/>
        </w:rPr>
        <w:t>GIGACLOUD TECHNOLOGY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tbl>
      <w:tblPr>
        <w:tblW w:w="7811" w:type="dxa"/>
        <w:jc w:val="center"/>
        <w:tblInd w:w="0" w:type="dxa"/>
        <w:tblLayout w:type="fixed"/>
        <w:tblCellMar>
          <w:top w:w="28" w:type="dxa"/>
          <w:left w:w="28" w:type="dxa"/>
          <w:bottom w:w="28" w:type="dxa"/>
          <w:right w:w="28" w:type="dxa"/>
        </w:tblCellMar>
      </w:tblPr>
      <w:tblGrid>
        <w:gridCol w:w="1714"/>
        <w:gridCol w:w="1510"/>
        <w:gridCol w:w="1516"/>
        <w:gridCol w:w="109"/>
        <w:gridCol w:w="109"/>
        <w:gridCol w:w="109"/>
        <w:gridCol w:w="801"/>
        <w:gridCol w:w="801"/>
        <w:gridCol w:w="1142"/>
      </w:tblGrid>
      <w:tr>
        <w:trPr/>
        <w:tc>
          <w:tcPr>
            <w:tcW w:w="171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00-0000000</w:t>
            </w:r>
          </w:p>
        </w:tc>
      </w:tr>
      <w:tr>
        <w:trPr/>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240" w:after="120"/>
        <w:jc w:val="center"/>
        <w:rPr/>
      </w:pPr>
      <w:r>
        <w:rPr>
          <w:rFonts w:ascii="Times New Roman;serif" w:hAnsi="Times New Roman;serif"/>
          <w:b/>
          <w:color w:val="000000"/>
          <w:sz w:val="20"/>
        </w:rPr>
        <w:t>4388 Shirley Avenue, El Monte, CA,</w:t>
      </w:r>
      <w:r>
        <w:rPr>
          <w:color w:val="000000"/>
        </w:rPr>
        <w:t xml:space="preserve"> </w:t>
      </w:r>
      <w:r>
        <w:rPr>
          <w:rFonts w:ascii="Times New Roman;serif" w:hAnsi="Times New Roman;serif"/>
          <w:b/>
          <w:color w:val="000000"/>
          <w:sz w:val="20"/>
        </w:rPr>
        <w:t>91731, United States</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1-626-912-8886</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120"/>
        <w:jc w:val="center"/>
        <w:rPr/>
      </w:pPr>
      <w:r>
        <w:rPr>
          <w:rFonts w:ascii="Times New Roman;serif" w:hAnsi="Times New Roman;serif"/>
          <w:b/>
          <w:color w:val="000000"/>
          <w:sz w:val="20"/>
        </w:rPr>
        <w:t>Securities registered pursuant to Section 12(b) of the Act:</w:t>
      </w:r>
      <w:r>
        <w:rPr>
          <w:color w:val="000000"/>
        </w:rPr>
        <w:t xml:space="preserve"> </w:t>
      </w:r>
    </w:p>
    <w:tbl>
      <w:tblPr>
        <w:tblW w:w="8529" w:type="dxa"/>
        <w:jc w:val="left"/>
        <w:tblInd w:w="0" w:type="dxa"/>
        <w:tblLayout w:type="fixed"/>
        <w:tblCellMar>
          <w:top w:w="28" w:type="dxa"/>
          <w:left w:w="28" w:type="dxa"/>
          <w:bottom w:w="28" w:type="dxa"/>
          <w:right w:w="28" w:type="dxa"/>
        </w:tblCellMar>
      </w:tblPr>
      <w:tblGrid>
        <w:gridCol w:w="1586"/>
        <w:gridCol w:w="1400"/>
        <w:gridCol w:w="1409"/>
        <w:gridCol w:w="109"/>
        <w:gridCol w:w="109"/>
        <w:gridCol w:w="109"/>
        <w:gridCol w:w="230"/>
        <w:gridCol w:w="230"/>
        <w:gridCol w:w="231"/>
        <w:gridCol w:w="109"/>
        <w:gridCol w:w="109"/>
        <w:gridCol w:w="109"/>
        <w:gridCol w:w="816"/>
        <w:gridCol w:w="816"/>
        <w:gridCol w:w="1157"/>
      </w:tblGrid>
      <w:tr>
        <w:trPr/>
        <w:tc>
          <w:tcPr>
            <w:tcW w:w="158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ordinary shares, par value $0.05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120"/>
        <w:ind w:left="0" w:right="0" w:firstLine="49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120"/>
        <w:ind w:left="0" w:right="0" w:firstLine="49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120"/>
        <w:ind w:left="0" w:right="0" w:firstLine="49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240" w:after="120"/>
        <w:ind w:left="0" w:right="0" w:firstLine="490"/>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APPLICABLE ONLY TO ISSUERS INVOLVED IN BANKRUPTCY PROCEEDINGS DURING THE PAST FIVE YEARS: </w:t>
      </w:r>
    </w:p>
    <w:p>
      <w:pPr>
        <w:pStyle w:val="TextBody"/>
        <w:bidi w:val="0"/>
        <w:spacing w:lineRule="auto" w:line="288" w:before="240" w:after="120"/>
        <w:ind w:left="0" w:right="0" w:firstLine="490"/>
        <w:jc w:val="left"/>
        <w:rPr/>
      </w:pPr>
      <w:r>
        <w:rPr>
          <w:rFonts w:ascii="Times New Roman;serif" w:hAnsi="Times New Roman;serif"/>
          <w:b w:val="false"/>
          <w:color w:val="000000"/>
          <w:sz w:val="20"/>
        </w:rPr>
        <w:t>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120"/>
        <w:ind w:left="0" w:right="0" w:firstLine="490"/>
        <w:jc w:val="center"/>
        <w:rPr>
          <w:rFonts w:ascii="Times New Roman;serif" w:hAnsi="Times New Roman;serif"/>
          <w:b w:val="false"/>
          <w:color w:val="000000"/>
          <w:sz w:val="20"/>
        </w:rPr>
      </w:pPr>
      <w:r>
        <w:rPr>
          <w:rFonts w:ascii="Times New Roman;serif" w:hAnsi="Times New Roman;serif"/>
          <w:b w:val="false"/>
          <w:color w:val="000000"/>
          <w:sz w:val="20"/>
        </w:rPr>
        <w:t>APPLICABLE ONLY TO CORPORATE ISSUERS: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Indicate the number of shares outstanding of each of the issuer’s classes of common stock, as of the latest practicable date.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number of outstanding shares of the issuer’s ordinary shares as of April 28, 2026 was 36,787,488, consisting of 29,630,756 Class A ordinary shares, par value $0.05 per share, issued and outstanding (which had excluded an aggregate of 48,775 Class A ordinary shares issued and reserved for future allocation upon exercise or vesting of awards granted under our share incentive plans; and 447,309 Class A ordinary shares issued and repurchased but not yet cancelled) and 7,156,732 Class B ordinary shares, par value $0.05 per share, issued and outstanding.</w:t>
      </w:r>
    </w:p>
    <w:p>
      <w:pPr>
        <w:pStyle w:val="TextBody"/>
        <w:bidi w:val="0"/>
        <w:spacing w:before="120" w:after="120"/>
        <w:ind w:left="0" w:right="0" w:firstLine="49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FORM 10-Q — QUARTERLY REPORT</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85"/>
        <w:gridCol w:w="474"/>
        <w:gridCol w:w="474"/>
        <w:gridCol w:w="2823"/>
        <w:gridCol w:w="2721"/>
        <w:gridCol w:w="2753"/>
        <w:gridCol w:w="109"/>
        <w:gridCol w:w="109"/>
        <w:gridCol w:w="157"/>
      </w:tblGrid>
      <w:tr>
        <w:trPr/>
        <w:tc>
          <w:tcPr>
            <w:tcW w:w="58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6">
              <w:r>
                <w:rPr>
                  <w:rStyle w:val="InternetLink"/>
                  <w:rFonts w:ascii="Times New Roman;serif" w:hAnsi="Times New Roman;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9">
              <w:r>
                <w:rPr>
                  <w:rStyle w:val="InternetLink"/>
                  <w:rFonts w:ascii="Times New Roman;serif" w:hAnsi="Times New Roman;serif"/>
                  <w:b w:val="false"/>
                  <w:strike w:val="false"/>
                  <w:dstrike w:val="false"/>
                  <w:color w:val="000000"/>
                  <w:sz w:val="20"/>
                  <w:u w:val="none"/>
                  <w:effect w:val="none"/>
                </w:rPr>
                <w:t>4</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9">
              <w:r>
                <w:rPr>
                  <w:rStyle w:val="InternetLink"/>
                  <w:rFonts w:ascii="Times New Roman;serif" w:hAnsi="Times New Roman;serif"/>
                  <w:b w:val="false"/>
                  <w:strike w:val="false"/>
                  <w:dstrike w:val="false"/>
                  <w:color w:val="000000"/>
                  <w:sz w:val="20"/>
                  <w:u w:val="none"/>
                  <w:effect w:val="none"/>
                </w:rPr>
                <w:t>Item 1.</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9">
              <w:r>
                <w:rPr>
                  <w:rStyle w:val="InternetLink"/>
                  <w:rFonts w:ascii="Times New Roman;serif" w:hAnsi="Times New Roman;serif"/>
                  <w:b w:val="false"/>
                  <w:color w:val="0000FF"/>
                  <w:sz w:val="20"/>
                  <w:u w:val="singl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9">
              <w:r>
                <w:rPr>
                  <w:rStyle w:val="InternetLink"/>
                  <w:rFonts w:ascii="Times New Roman;serif" w:hAnsi="Times New Roman;serif"/>
                  <w:b w:val="false"/>
                  <w:strike w:val="false"/>
                  <w:dstrike w:val="false"/>
                  <w:color w:val="000000"/>
                  <w:sz w:val="20"/>
                  <w:u w:val="none"/>
                  <w:effect w:val="none"/>
                </w:rPr>
                <w:t>4</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25">
              <w:r>
                <w:rPr>
                  <w:rStyle w:val="InternetLink"/>
                  <w:rFonts w:ascii="Times New Roman;serif" w:hAnsi="Times New Roman;serif"/>
                  <w:b w:val="false"/>
                  <w:color w:val="0000FF"/>
                  <w:sz w:val="20"/>
                  <w:u w:val="single"/>
                </w:rPr>
                <w:t>Condensed Consolidated Balance Sheets as of March 31, 2026 and December 31,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25">
              <w:r>
                <w:rPr>
                  <w:rStyle w:val="InternetLink"/>
                  <w:rFonts w:ascii="Times New Roman;serif" w:hAnsi="Times New Roman;serif"/>
                  <w:b w:val="false"/>
                  <w:strike w:val="false"/>
                  <w:dstrike w:val="false"/>
                  <w:color w:val="000000"/>
                  <w:sz w:val="20"/>
                  <w:u w:val="none"/>
                  <w:effect w:val="none"/>
                </w:rPr>
                <w:t>4</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28">
              <w:r>
                <w:rPr>
                  <w:rStyle w:val="InternetLink"/>
                  <w:rFonts w:ascii="Times New Roman;serif" w:hAnsi="Times New Roman;serif"/>
                  <w:b w:val="false"/>
                  <w:color w:val="0000FF"/>
                  <w:sz w:val="20"/>
                  <w:u w:val="single"/>
                </w:rPr>
                <w:t>Condensed Consolidated Statements of Comprehensive Income for the Three Months Ended March 31,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28">
              <w:r>
                <w:rPr>
                  <w:rStyle w:val="InternetLink"/>
                  <w:rFonts w:ascii="Times New Roman;serif" w:hAnsi="Times New Roman;serif"/>
                  <w:b w:val="false"/>
                  <w:strike w:val="false"/>
                  <w:dstrike w:val="false"/>
                  <w:color w:val="000000"/>
                  <w:sz w:val="20"/>
                  <w:u w:val="none"/>
                  <w:effect w:val="none"/>
                </w:rPr>
                <w:t>7</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31">
              <w:r>
                <w:rPr>
                  <w:rStyle w:val="InternetLink"/>
                  <w:rFonts w:ascii="Times New Roman;serif" w:hAnsi="Times New Roman;serif"/>
                  <w:b w:val="false"/>
                  <w:color w:val="0000FF"/>
                  <w:sz w:val="20"/>
                  <w:u w:val="single"/>
                </w:rPr>
                <w:t>Condensed Consolidated Statements of Changes In Shareholders’ Equity for the Three Months Ended March 31,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31">
              <w:r>
                <w:rPr>
                  <w:rStyle w:val="InternetLink"/>
                  <w:rFonts w:ascii="Times New Roman;serif" w:hAnsi="Times New Roman;serif"/>
                  <w:b w:val="false"/>
                  <w:strike w:val="false"/>
                  <w:dstrike w:val="false"/>
                  <w:color w:val="000000"/>
                  <w:sz w:val="20"/>
                  <w:u w:val="none"/>
                  <w:effect w:val="none"/>
                </w:rPr>
                <w:t>8</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34">
              <w:r>
                <w:rPr>
                  <w:rStyle w:val="InternetLink"/>
                  <w:rFonts w:ascii="Times New Roman;serif" w:hAnsi="Times New Roman;serif"/>
                  <w:b w:val="false"/>
                  <w:color w:val="0000FF"/>
                  <w:sz w:val="20"/>
                  <w:u w:val="single"/>
                </w:rPr>
                <w:t>Condensed Consolidated Statements of Cash Flows for the Three Months Ended March 31,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34">
              <w:r>
                <w:rPr>
                  <w:rStyle w:val="InternetLink"/>
                  <w:rFonts w:ascii="Times New Roman;serif" w:hAnsi="Times New Roman;serif"/>
                  <w:b w:val="false"/>
                  <w:strike w:val="false"/>
                  <w:dstrike w:val="false"/>
                  <w:color w:val="000000"/>
                  <w:sz w:val="20"/>
                  <w:u w:val="none"/>
                  <w:effect w:val="none"/>
                </w:rPr>
                <w:t>10</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37">
              <w:r>
                <w:rPr>
                  <w:rStyle w:val="InternetLink"/>
                  <w:rFonts w:ascii="Times New Roman;serif" w:hAnsi="Times New Roman;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37">
              <w:r>
                <w:rPr>
                  <w:rStyle w:val="InternetLink"/>
                  <w:rFonts w:ascii="Times New Roman;serif" w:hAnsi="Times New Roman;serif"/>
                  <w:b w:val="false"/>
                  <w:strike w:val="false"/>
                  <w:dstrike w:val="false"/>
                  <w:color w:val="000000"/>
                  <w:sz w:val="20"/>
                  <w:u w:val="none"/>
                  <w:effect w:val="none"/>
                </w:rPr>
                <w:t>12</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73">
              <w:r>
                <w:rPr>
                  <w:rStyle w:val="InternetLink"/>
                  <w:rFonts w:ascii="Times New Roman;serif" w:hAnsi="Times New Roman;serif"/>
                  <w:b w:val="false"/>
                  <w:strike w:val="false"/>
                  <w:dstrike w:val="false"/>
                  <w:color w:val="000000"/>
                  <w:sz w:val="20"/>
                  <w:u w:val="none"/>
                  <w:effect w:val="none"/>
                </w:rPr>
                <w:t>Item 2.</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73">
              <w:r>
                <w:rPr>
                  <w:rStyle w:val="InternetLink"/>
                  <w:rFonts w:ascii="Times New Roman;serif" w:hAnsi="Times New Roman;serif"/>
                  <w:b w:val="false"/>
                  <w:strike w:val="false"/>
                  <w:dstrike w:val="false"/>
                  <w:color w:val="000000"/>
                  <w:sz w:val="20"/>
                  <w:u w:val="none"/>
                  <w:effect w:val="none"/>
                </w:rPr>
                <w:t>27</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85">
              <w:r>
                <w:rPr>
                  <w:rStyle w:val="InternetLink"/>
                  <w:rFonts w:ascii="Times New Roman;serif" w:hAnsi="Times New Roman;serif"/>
                  <w:b w:val="false"/>
                  <w:strike w:val="false"/>
                  <w:dstrike w:val="false"/>
                  <w:color w:val="000000"/>
                  <w:sz w:val="20"/>
                  <w:u w:val="none"/>
                  <w:effect w:val="none"/>
                </w:rPr>
                <w:t>Item 3.</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85">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85">
              <w:r>
                <w:rPr>
                  <w:rStyle w:val="InternetLink"/>
                  <w:rFonts w:ascii="Times New Roman;serif" w:hAnsi="Times New Roman;serif"/>
                  <w:b w:val="false"/>
                  <w:strike w:val="false"/>
                  <w:dstrike w:val="false"/>
                  <w:color w:val="000000"/>
                  <w:sz w:val="20"/>
                  <w:u w:val="none"/>
                  <w:effect w:val="none"/>
                </w:rPr>
                <w:t>44</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88">
              <w:r>
                <w:rPr>
                  <w:rStyle w:val="InternetLink"/>
                  <w:rFonts w:ascii="Times New Roman;serif" w:hAnsi="Times New Roman;serif"/>
                  <w:b w:val="false"/>
                  <w:strike w:val="false"/>
                  <w:dstrike w:val="false"/>
                  <w:color w:val="000000"/>
                  <w:sz w:val="20"/>
                  <w:u w:val="none"/>
                  <w:effect w:val="none"/>
                </w:rPr>
                <w:t>Item 4.</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88">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88">
              <w:r>
                <w:rPr>
                  <w:rStyle w:val="InternetLink"/>
                  <w:rFonts w:ascii="Times New Roman;serif" w:hAnsi="Times New Roman;serif"/>
                  <w:b w:val="false"/>
                  <w:strike w:val="false"/>
                  <w:dstrike w:val="false"/>
                  <w:color w:val="000000"/>
                  <w:sz w:val="20"/>
                  <w:u w:val="none"/>
                  <w:effect w:val="none"/>
                </w:rPr>
                <w:t>45</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91">
              <w:r>
                <w:rPr>
                  <w:rStyle w:val="InternetLink"/>
                  <w:rFonts w:ascii="Times New Roman;serif" w:hAnsi="Times New Roman;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91">
              <w:r>
                <w:rPr>
                  <w:rStyle w:val="InternetLink"/>
                  <w:rFonts w:ascii="Times New Roman;serif" w:hAnsi="Times New Roman;serif"/>
                  <w:b w:val="false"/>
                  <w:strike w:val="false"/>
                  <w:dstrike w:val="false"/>
                  <w:color w:val="000000"/>
                  <w:sz w:val="20"/>
                  <w:u w:val="none"/>
                  <w:effect w:val="none"/>
                </w:rPr>
                <w:t>46</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94">
              <w:r>
                <w:rPr>
                  <w:rStyle w:val="InternetLink"/>
                  <w:rFonts w:ascii="Times New Roman;serif" w:hAnsi="Times New Roman;serif"/>
                  <w:b w:val="false"/>
                  <w:strike w:val="false"/>
                  <w:dstrike w:val="false"/>
                  <w:color w:val="000000"/>
                  <w:sz w:val="20"/>
                  <w:u w:val="none"/>
                  <w:effect w:val="none"/>
                </w:rPr>
                <w:t>Item 1.</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94">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94">
              <w:r>
                <w:rPr>
                  <w:rStyle w:val="InternetLink"/>
                  <w:rFonts w:ascii="Times New Roman;serif" w:hAnsi="Times New Roman;serif"/>
                  <w:b w:val="false"/>
                  <w:strike w:val="false"/>
                  <w:dstrike w:val="false"/>
                  <w:color w:val="000000"/>
                  <w:sz w:val="20"/>
                  <w:u w:val="none"/>
                  <w:effect w:val="none"/>
                </w:rPr>
                <w:t>46</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97">
              <w:r>
                <w:rPr>
                  <w:rStyle w:val="InternetLink"/>
                  <w:rFonts w:ascii="Times New Roman;serif" w:hAnsi="Times New Roman;serif"/>
                  <w:b w:val="false"/>
                  <w:strike w:val="false"/>
                  <w:dstrike w:val="false"/>
                  <w:color w:val="000000"/>
                  <w:sz w:val="20"/>
                  <w:u w:val="none"/>
                  <w:effect w:val="none"/>
                </w:rPr>
                <w:t>Item 1A.</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97">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97">
              <w:r>
                <w:rPr>
                  <w:rStyle w:val="InternetLink"/>
                  <w:rFonts w:ascii="Times New Roman;serif" w:hAnsi="Times New Roman;serif"/>
                  <w:b w:val="false"/>
                  <w:strike w:val="false"/>
                  <w:dstrike w:val="false"/>
                  <w:color w:val="000000"/>
                  <w:sz w:val="20"/>
                  <w:u w:val="none"/>
                  <w:effect w:val="none"/>
                </w:rPr>
                <w:t>46</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00">
              <w:r>
                <w:rPr>
                  <w:rStyle w:val="InternetLink"/>
                  <w:rFonts w:ascii="Times New Roman;serif" w:hAnsi="Times New Roman;serif"/>
                  <w:b w:val="false"/>
                  <w:strike w:val="false"/>
                  <w:dstrike w:val="false"/>
                  <w:color w:val="000000"/>
                  <w:sz w:val="20"/>
                  <w:u w:val="none"/>
                  <w:effect w:val="none"/>
                </w:rPr>
                <w:t xml:space="preserve">Item 2. </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00">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00">
              <w:r>
                <w:rPr>
                  <w:rStyle w:val="InternetLink"/>
                  <w:rFonts w:ascii="Times New Roman;serif" w:hAnsi="Times New Roman;serif"/>
                  <w:b w:val="false"/>
                  <w:strike w:val="false"/>
                  <w:dstrike w:val="false"/>
                  <w:color w:val="000000"/>
                  <w:sz w:val="20"/>
                  <w:u w:val="none"/>
                  <w:effect w:val="none"/>
                </w:rPr>
                <w:t>46</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03">
              <w:r>
                <w:rPr>
                  <w:rStyle w:val="InternetLink"/>
                  <w:rFonts w:ascii="Times New Roman;serif" w:hAnsi="Times New Roman;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03">
              <w:r>
                <w:rPr>
                  <w:rStyle w:val="InternetLink"/>
                  <w:rFonts w:ascii="Times New Roman;serif" w:hAnsi="Times New Roman;serif"/>
                  <w:b w:val="false"/>
                  <w:strike w:val="false"/>
                  <w:dstrike w:val="false"/>
                  <w:color w:val="000000"/>
                  <w:sz w:val="20"/>
                  <w:u w:val="none"/>
                  <w:effect w:val="none"/>
                </w:rPr>
                <w:t>47</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06">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06">
              <w:r>
                <w:rPr>
                  <w:rStyle w:val="InternetLink"/>
                  <w:rFonts w:ascii="Times New Roman;serif" w:hAnsi="Times New Roman;serif"/>
                  <w:b w:val="false"/>
                  <w:strike w:val="false"/>
                  <w:dstrike w:val="false"/>
                  <w:color w:val="000000"/>
                  <w:sz w:val="20"/>
                  <w:u w:val="none"/>
                  <w:effect w:val="none"/>
                </w:rPr>
                <w:t>47</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09">
              <w:r>
                <w:rPr>
                  <w:rStyle w:val="InternetLink"/>
                  <w:rFonts w:ascii="Times New Roman;serif" w:hAnsi="Times New Roman;serif"/>
                  <w:b w:val="false"/>
                  <w:strike w:val="false"/>
                  <w:dstrike w:val="false"/>
                  <w:color w:val="000000"/>
                  <w:sz w:val="20"/>
                  <w:u w:val="none"/>
                  <w:effect w:val="none"/>
                </w:rPr>
                <w:t>Item 5.</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09">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09">
              <w:r>
                <w:rPr>
                  <w:rStyle w:val="InternetLink"/>
                  <w:rFonts w:ascii="Times New Roman;serif" w:hAnsi="Times New Roman;serif"/>
                  <w:b w:val="false"/>
                  <w:strike w:val="false"/>
                  <w:dstrike w:val="false"/>
                  <w:color w:val="000000"/>
                  <w:sz w:val="20"/>
                  <w:u w:val="none"/>
                  <w:effect w:val="none"/>
                </w:rPr>
                <w:t>47</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12">
              <w:r>
                <w:rPr>
                  <w:rStyle w:val="InternetLink"/>
                  <w:rFonts w:ascii="Times New Roman;serif" w:hAnsi="Times New Roman;serif"/>
                  <w:b w:val="false"/>
                  <w:strike w:val="false"/>
                  <w:dstrike w:val="false"/>
                  <w:color w:val="000000"/>
                  <w:sz w:val="20"/>
                  <w:u w:val="none"/>
                  <w:effect w:val="none"/>
                </w:rPr>
                <w:t>Item 6.</w:t>
              </w:r>
            </w:hyperlink>
          </w:p>
        </w:tc>
        <w:tc>
          <w:tcPr>
            <w:tcW w:w="8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12">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12">
              <w:r>
                <w:rPr>
                  <w:rStyle w:val="InternetLink"/>
                  <w:rFonts w:ascii="Times New Roman;serif" w:hAnsi="Times New Roman;serif"/>
                  <w:b w:val="false"/>
                  <w:strike w:val="false"/>
                  <w:dstrike w:val="false"/>
                  <w:color w:val="000000"/>
                  <w:sz w:val="20"/>
                  <w:u w:val="none"/>
                  <w:effect w:val="none"/>
                </w:rPr>
                <w:t>47</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099b929404831a474b9a82b728aed_115">
              <w:r>
                <w:rPr>
                  <w:rStyle w:val="InternetLink"/>
                  <w:rFonts w:ascii="Times New Roman;serif" w:hAnsi="Times New Roman;serif"/>
                  <w:b w:val="false"/>
                  <w:color w:val="0000FF"/>
                  <w:sz w:val="20"/>
                  <w:u w:val="single"/>
                </w:rPr>
                <w:t>Signatures</w:t>
              </w:r>
            </w:hyperlink>
          </w:p>
        </w:tc>
        <w:tc>
          <w:tcPr>
            <w:tcW w:w="8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099b929404831a474b9a82b728aed_115">
              <w:r>
                <w:rPr>
                  <w:rStyle w:val="InternetLink"/>
                  <w:rFonts w:ascii="Times New Roman;serif" w:hAnsi="Times New Roman;serif"/>
                  <w:b w:val="false"/>
                  <w:strike w:val="false"/>
                  <w:dstrike w:val="false"/>
                  <w:color w:val="000000"/>
                  <w:sz w:val="20"/>
                  <w:u w:val="none"/>
                  <w:effect w:val="non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360" w:after="120"/>
        <w:jc w:val="center"/>
        <w:rPr>
          <w:rFonts w:ascii="Times New Roman;serif" w:hAnsi="Times New Roman;serif"/>
          <w:b/>
          <w:color w:val="000000"/>
          <w:sz w:val="20"/>
        </w:rPr>
      </w:pPr>
      <w:r>
        <w:rPr>
          <w:rFonts w:ascii="Times New Roman;serif" w:hAnsi="Times New Roman;serif"/>
          <w:b/>
          <w:color w:val="000000"/>
          <w:sz w:val="20"/>
        </w:rPr>
        <w:t xml:space="preserve">INTRODUCTION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Conventions that Apply to this Quarterly Report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we use a number of terms which are defined as follows:</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3P seller GigaCloud Marketplace GMV</w:t>
      </w:r>
      <w:r>
        <w:rPr>
          <w:color w:val="000000"/>
        </w:rPr>
        <w:t>”</w:t>
      </w:r>
      <w:r>
        <w:rPr>
          <w:rFonts w:ascii="Times New Roman;serif" w:hAnsi="Times New Roman;serif"/>
          <w:b w:val="false"/>
          <w:color w:val="000000"/>
          <w:sz w:val="20"/>
        </w:rPr>
        <w:t>: the total gross merchandise value of transactions sold through our GigaCloud Marketplace by 3P sellers, before any deductions of value added tax, goods and services tax, shipping charges paid by buyers to sellers and any refunds;</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active 3P sellers</w:t>
      </w:r>
      <w:r>
        <w:rPr>
          <w:color w:val="000000"/>
        </w:rPr>
        <w:t>”</w:t>
      </w:r>
      <w:r>
        <w:rPr>
          <w:rFonts w:ascii="Times New Roman;serif" w:hAnsi="Times New Roman;serif"/>
          <w:b w:val="false"/>
          <w:color w:val="000000"/>
          <w:sz w:val="20"/>
        </w:rPr>
        <w:t xml:space="preserve">: sellers who have sold a product in the GigaCloud Marketplace within the last 12-month period, irrespective of cancellations or returns;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active buyers</w:t>
      </w:r>
      <w:r>
        <w:rPr>
          <w:color w:val="000000"/>
        </w:rPr>
        <w:t>”</w:t>
      </w:r>
      <w:r>
        <w:rPr>
          <w:rFonts w:ascii="Times New Roman;serif" w:hAnsi="Times New Roman;serif"/>
          <w:b w:val="false"/>
          <w:color w:val="000000"/>
          <w:sz w:val="20"/>
        </w:rPr>
        <w:t xml:space="preserve">: buyers who have purchased a product in the GigaCloud Marketplace within the last 12-month period, irrespective of cancellations or returns;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Cayman Islands holding company</w:t>
      </w:r>
      <w:r>
        <w:rPr>
          <w:color w:val="000000"/>
        </w:rPr>
        <w:t>”</w:t>
      </w:r>
      <w:r>
        <w:rPr>
          <w:rFonts w:ascii="Times New Roman;serif" w:hAnsi="Times New Roman;serif"/>
          <w:b w:val="false"/>
          <w:color w:val="000000"/>
          <w:sz w:val="20"/>
        </w:rPr>
        <w:t xml:space="preserve">: GigaCloud Technology Inc, our Cayman Islands holding company and its predecessor entity;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Class A ordinary shares</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our Class A ordinary shares</w:t>
      </w:r>
      <w:r>
        <w:rPr>
          <w:color w:val="000000"/>
        </w:rPr>
        <w:t>”</w:t>
      </w:r>
      <w:r>
        <w:rPr>
          <w:rFonts w:ascii="Times New Roman;serif" w:hAnsi="Times New Roman;serif"/>
          <w:b w:val="false"/>
          <w:color w:val="000000"/>
          <w:sz w:val="20"/>
        </w:rPr>
        <w:t xml:space="preserve">: the Class A ordinary shares, par value $0.05 per share, of GigaCloud Technology Inc;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Class B ordinary shares</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our Class B ordinary shares</w:t>
      </w:r>
      <w:r>
        <w:rPr>
          <w:color w:val="000000"/>
        </w:rPr>
        <w:t>”</w:t>
      </w:r>
      <w:r>
        <w:rPr>
          <w:rFonts w:ascii="Times New Roman;serif" w:hAnsi="Times New Roman;serif"/>
          <w:b w:val="false"/>
          <w:color w:val="000000"/>
          <w:sz w:val="20"/>
        </w:rPr>
        <w:t xml:space="preserve">: the Class B ordinary shares, par value $0.05 per share, of GigaCloud Technology Inc;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fulfillment centers</w:t>
      </w:r>
      <w:r>
        <w:rPr>
          <w:color w:val="000000"/>
        </w:rPr>
        <w:t>”</w:t>
      </w:r>
      <w:r>
        <w:rPr>
          <w:rFonts w:ascii="Times New Roman;serif" w:hAnsi="Times New Roman;serif"/>
          <w:b w:val="false"/>
          <w:color w:val="000000"/>
          <w:sz w:val="20"/>
        </w:rPr>
        <w:t>: our warehouses that are strategically located, designed and equipped to manage inventory and to fulfill customer orders and other needs;</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GigaCloud Marketplace GMV</w:t>
      </w:r>
      <w:r>
        <w:rPr>
          <w:color w:val="000000"/>
        </w:rPr>
        <w:t>”</w:t>
      </w:r>
      <w:r>
        <w:rPr>
          <w:rFonts w:ascii="Times New Roman;serif" w:hAnsi="Times New Roman;serif"/>
          <w:b w:val="false"/>
          <w:color w:val="000000"/>
          <w:sz w:val="20"/>
        </w:rPr>
        <w:t xml:space="preserve">: the total gross merchandise value of transactions ordered through our GigaCloud Marketplace including GigaCloud 3P and GigaCloud 1P, before any deductions of value added tax, goods and services tax, shipping charges paid by buyers to sellers and any refunds;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GMV</w:t>
      </w:r>
      <w:r>
        <w:rPr>
          <w:color w:val="000000"/>
        </w:rPr>
        <w:t>”</w:t>
      </w:r>
      <w:r>
        <w:rPr>
          <w:rFonts w:ascii="Times New Roman;serif" w:hAnsi="Times New Roman;serif"/>
          <w:b w:val="false"/>
          <w:color w:val="000000"/>
          <w:sz w:val="20"/>
        </w:rPr>
        <w:t xml:space="preserve">: the total gross merchandise value of transactions;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IPO</w:t>
      </w:r>
      <w:r>
        <w:rPr>
          <w:color w:val="000000"/>
        </w:rPr>
        <w:t>”</w:t>
      </w:r>
      <w:r>
        <w:rPr>
          <w:rFonts w:ascii="Times New Roman;serif" w:hAnsi="Times New Roman;serif"/>
          <w:b w:val="false"/>
          <w:color w:val="000000"/>
          <w:sz w:val="20"/>
        </w:rPr>
        <w:t>: the Company’s initial public offering completed on August 22, 2022;</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off-platform</w:t>
      </w:r>
      <w:r>
        <w:rPr>
          <w:color w:val="000000"/>
        </w:rPr>
        <w:t>”</w:t>
      </w:r>
      <w:r>
        <w:rPr>
          <w:rFonts w:ascii="Times New Roman;serif" w:hAnsi="Times New Roman;serif"/>
          <w:b w:val="false"/>
          <w:color w:val="000000"/>
          <w:sz w:val="20"/>
        </w:rPr>
        <w:t xml:space="preserve">: the sale of our own inventory to and through third-party ecommerce platforms and to brick-and-mortar retailers;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shares</w:t>
      </w:r>
      <w:r>
        <w:rPr>
          <w:rFonts w:ascii="Times New Roman;serif" w:hAnsi="Times New Roman;serif"/>
          <w:b w:val="false"/>
          <w:color w:val="000000"/>
          <w:sz w:val="20"/>
        </w:rPr>
        <w:t>,” “</w:t>
      </w:r>
      <w:r>
        <w:rPr>
          <w:rFonts w:ascii="Times New Roman;serif" w:hAnsi="Times New Roman;serif"/>
          <w:b/>
          <w:color w:val="000000"/>
          <w:sz w:val="20"/>
        </w:rPr>
        <w:t>our shares</w:t>
      </w:r>
      <w:r>
        <w:rPr>
          <w:color w:val="000000"/>
        </w:rPr>
        <w:t>” “</w:t>
      </w:r>
      <w:r>
        <w:rPr>
          <w:rFonts w:ascii="Times New Roman;serif" w:hAnsi="Times New Roman;serif"/>
          <w:b/>
          <w:color w:val="000000"/>
          <w:sz w:val="20"/>
        </w:rPr>
        <w:t>ordinary shares</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our ordinary shares</w:t>
      </w:r>
      <w:r>
        <w:rPr>
          <w:color w:val="000000"/>
        </w:rPr>
        <w:t>”</w:t>
      </w:r>
      <w:r>
        <w:rPr>
          <w:rFonts w:ascii="Times New Roman;serif" w:hAnsi="Times New Roman;serif"/>
          <w:b w:val="false"/>
          <w:color w:val="000000"/>
          <w:sz w:val="20"/>
        </w:rPr>
        <w:t xml:space="preserve">: our Class A ordinary shares and Class B ordinary shares, par value $0.05 per share;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SKU</w:t>
      </w:r>
      <w:r>
        <w:rPr>
          <w:color w:val="000000"/>
        </w:rPr>
        <w:t>”</w:t>
      </w:r>
      <w:r>
        <w:rPr>
          <w:rFonts w:ascii="Times New Roman;serif" w:hAnsi="Times New Roman;serif"/>
          <w:b w:val="false"/>
          <w:color w:val="000000"/>
          <w:sz w:val="20"/>
        </w:rPr>
        <w:t xml:space="preserve">: each stock keeping unit located in one of our fulfillment centers;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spend per active buyer</w:t>
      </w:r>
      <w:r>
        <w:rPr>
          <w:color w:val="000000"/>
        </w:rPr>
        <w:t>”</w:t>
      </w:r>
      <w:r>
        <w:rPr>
          <w:rFonts w:ascii="Times New Roman;serif" w:hAnsi="Times New Roman;serif"/>
          <w:b w:val="false"/>
          <w:color w:val="000000"/>
          <w:sz w:val="20"/>
        </w:rPr>
        <w:t xml:space="preserve">: the spend per active buyer that is calculated by dividing the total GigaCloud Marketplace GMV within the last 12-month period by the number of active buyers as of such date; </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US$</w:t>
      </w:r>
      <w:r>
        <w:rPr>
          <w:rFonts w:ascii="Times New Roman;serif" w:hAnsi="Times New Roman;serif"/>
          <w:b w:val="false"/>
          <w:color w:val="000000"/>
          <w:sz w:val="20"/>
        </w:rPr>
        <w:t>,”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U.S. dollars</w:t>
      </w:r>
      <w:r>
        <w:rPr>
          <w:color w:val="000000"/>
        </w:rPr>
        <w:t>”</w:t>
      </w:r>
      <w:r>
        <w:rPr>
          <w:rFonts w:ascii="Times New Roman;serif" w:hAnsi="Times New Roman;serif"/>
          <w:b w:val="false"/>
          <w:color w:val="000000"/>
          <w:sz w:val="20"/>
        </w:rPr>
        <w:t>: the legal currency of the United States, or the U.S.; and</w:t>
      </w:r>
    </w:p>
    <w:p>
      <w:pPr>
        <w:pStyle w:val="TextBody"/>
        <w:bidi w:val="0"/>
        <w:spacing w:lineRule="auto" w:line="288" w:before="120" w:after="120"/>
        <w:ind w:left="0" w:right="0" w:hanging="540"/>
        <w:jc w:val="left"/>
        <w:rPr/>
      </w:pPr>
      <w:r>
        <w:rPr>
          <w:color w:val="000000"/>
        </w:rPr>
        <w:t>•“</w:t>
      </w:r>
      <w:r>
        <w:rPr>
          <w:rFonts w:ascii="Times New Roman;serif" w:hAnsi="Times New Roman;serif"/>
          <w:b/>
          <w:color w:val="000000"/>
          <w:sz w:val="20"/>
        </w:rPr>
        <w:t>we</w:t>
      </w:r>
      <w:r>
        <w:rPr>
          <w:rFonts w:ascii="Times New Roman;serif" w:hAnsi="Times New Roman;serif"/>
          <w:b w:val="false"/>
          <w:color w:val="000000"/>
          <w:sz w:val="20"/>
        </w:rPr>
        <w:t>,” “</w:t>
      </w:r>
      <w:r>
        <w:rPr>
          <w:rFonts w:ascii="Times New Roman;serif" w:hAnsi="Times New Roman;serif"/>
          <w:b/>
          <w:color w:val="000000"/>
          <w:sz w:val="20"/>
        </w:rPr>
        <w:t>us</w:t>
      </w:r>
      <w:r>
        <w:rPr>
          <w:rFonts w:ascii="Times New Roman;serif" w:hAnsi="Times New Roman;serif"/>
          <w:b w:val="false"/>
          <w:color w:val="000000"/>
          <w:sz w:val="20"/>
        </w:rPr>
        <w:t>,” “</w:t>
      </w:r>
      <w:r>
        <w:rPr>
          <w:rFonts w:ascii="Times New Roman;serif" w:hAnsi="Times New Roman;serif"/>
          <w:b/>
          <w:color w:val="000000"/>
          <w:sz w:val="20"/>
        </w:rPr>
        <w:t>our company</w:t>
      </w:r>
      <w:r>
        <w:rPr>
          <w:rFonts w:ascii="Times New Roman;serif" w:hAnsi="Times New Roman;serif"/>
          <w:b w:val="false"/>
          <w:color w:val="000000"/>
          <w:sz w:val="20"/>
        </w:rPr>
        <w:t>,” “</w:t>
      </w:r>
      <w:r>
        <w:rPr>
          <w:rFonts w:ascii="Times New Roman;serif" w:hAnsi="Times New Roman;serif"/>
          <w:b/>
          <w:color w:val="000000"/>
          <w:sz w:val="20"/>
        </w:rPr>
        <w:t>the Company</w:t>
      </w:r>
      <w:r>
        <w:rPr>
          <w:rFonts w:ascii="Times New Roman;serif" w:hAnsi="Times New Roman;serif"/>
          <w:b w:val="false"/>
          <w:color w:val="000000"/>
          <w:sz w:val="20"/>
        </w:rPr>
        <w:t>,” “</w:t>
      </w:r>
      <w:r>
        <w:rPr>
          <w:rFonts w:ascii="Times New Roman;serif" w:hAnsi="Times New Roman;serif"/>
          <w:b/>
          <w:color w:val="000000"/>
          <w:sz w:val="20"/>
        </w:rPr>
        <w:t>our</w:t>
      </w:r>
      <w:r>
        <w:rPr>
          <w:rFonts w:ascii="Times New Roman;serif" w:hAnsi="Times New Roman;serif"/>
          <w:b w:val="false"/>
          <w:color w:val="000000"/>
          <w:sz w:val="20"/>
        </w:rPr>
        <w:t>,” “</w:t>
      </w:r>
      <w:r>
        <w:rPr>
          <w:rFonts w:ascii="Times New Roman;serif" w:hAnsi="Times New Roman;serif"/>
          <w:b/>
          <w:color w:val="000000"/>
          <w:sz w:val="20"/>
        </w:rPr>
        <w:t>our group</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GigaCloud Group</w:t>
      </w:r>
      <w:r>
        <w:rPr>
          <w:color w:val="000000"/>
        </w:rPr>
        <w:t>”</w:t>
      </w:r>
      <w:r>
        <w:rPr>
          <w:rFonts w:ascii="Times New Roman;serif" w:hAnsi="Times New Roman;serif"/>
          <w:b w:val="false"/>
          <w:color w:val="000000"/>
          <w:sz w:val="20"/>
        </w:rPr>
        <w:t xml:space="preserve">: GigaCloud Technology Inc, our Cayman Islands holding company, its predecessor entity, together as a group with its subsidiaries.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rounding adjustments to reach some of the figures included in this quarterly report. Consequently, numerical figures shown as totals in some tables may not be arithmetic aggregations of the figures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360" w:after="12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contains forward-looking statements about our current expectations and views of future events. These forward-looking statements relate to events that involve known and unknown risks, uncertainties and other factors which may cause our actual results, performance or achievements to be materially different from those expressed or implied by these statements.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can identify some of these forward-looking statements by words or phrases such as “may,” “will,” “could,” “expect,” “anticipate,” “aim,” “estimate,” “intend,” “plan,” “believe,” “is/are likely to,” “propose,”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 forward-looking statements included in this quarterly report relate to, among other things: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goals;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business and operating strategies and plans for the development of existing and new businesses, ability to implement such strategies and plans and expected time;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our ability to realize the expected benefits of our acquisitions;</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expectation regarding the prospects of our business model;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future business development, financial condition and results of operations;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expected changes in our revenues, costs or expenditures;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dividend policy;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expectations regarding the effectiveness of our marketing initiatives and the demand for and market acceptance of our products and services;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expectations regarding our relationships with customers and business partners;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the trends in, expected growth in and market size of our industry globally;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ability to maintain and enhance our market position;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ability to continue to develop new technologies and/or upgrade our existing technologies;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developments in, or changes to, laws, regulations, governmental policies, tariffs, trade policies, incentives and taxation affecting our operations, in particular in the markets we are in;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relevant governmental policies and regulations relating to our businesses and industry;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competitive environment, competitive landscape and potential competitor behavior in our industry; overall industry outlook in our industry;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ability to attract, train and retain executives and other employees;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our proposed use of proceeds from any of our future offerings;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the development of the global financial and capital markets;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fluctuations in inflation, interest rates and exchange rates;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the impact of any pandemics or epidemics, to our business operations;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general business, political, social and economic conditions in the U.S. and other markets we have business; and </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 xml:space="preserve">assumptions underlying or related to any of the foregoing.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involve various risks and uncertainties. Although we believe that our expectations expressed in these forward-looking statements are reasonable, our actual results could be materially different from our expectations. Important risks and factors that could cause our actual results to be materially different from our expectations are generally set forth in “Summary of Risk Factors,” “Item 1A. Risk Factors,” “Item 1. Business,” “Item 7. Management’s Discussion and Analysis of Financial Condition and Results of Operation” in our Annual Report on Form 10-K for the year ended December 31, 2025 filed with the U.S. Securities and Exchange Commission, or the SEC, on February 26, 2026, or the 2025 Form 10-K, and other sections in this quarterly report.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quarterly report and the documents that we refer to with the understanding that our actual future results may be materially different from and worse than what we expect. We qualify all of our forward-looking statements by these cautionary statements.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may contain information derived from various government and private publications. These publications include forward-looking statements, which are subject to risks, uncertainties and assumptions. Although we believe the data and information to be reliable, we have not independently verified the accuracy or completeness of the data and information contained in these publications. Statistical data in these publications also include projections based on a number of assumptions. Our industry may not grow at the rate projected by market data, or at all. Failure of the market to grow at the projected rate may have a material and adverse effect on our business and the market price of our Class A ordinary shares.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See “Item 1A. Risk Factors—Risks Related to Our Class A Ordinary Shares—This annual report may contain certain industry data and information that were obtained from third-party sources and were not independently verified by us” in the 2025 Form 10-K. Therefore, you should not place undue reliance on these statements.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upon forward-looking statements as predictions of future events. The forward-looking statements in this quarterly report are made based on events and information as of the date of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and the documents that we refer to in this quarterly report and have filed as exhibits to this quarterly report, completely and with the understanding that our actual future results or performance may materially differ from what we expect.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0" w:after="0"/>
        <w:jc w:val="center"/>
        <w:rPr/>
      </w:pPr>
      <w:r>
        <w:rPr>
          <w:rFonts w:ascii="Times New Roman;serif" w:hAnsi="Times New Roman;serif"/>
          <w:b/>
          <w:color w:val="000000"/>
          <w:sz w:val="20"/>
        </w:rPr>
        <w:t>CONDENSED</w:t>
      </w:r>
      <w:r>
        <w:rPr>
          <w:color w:val="000000"/>
        </w:rPr>
        <w:t xml:space="preserve"> </w:t>
      </w:r>
      <w:bookmarkStart w:id="0" w:name="i12b1259ef2af4ea793bd07c85b40d880_736"/>
      <w:bookmarkEnd w:id="0"/>
      <w:r>
        <w:rPr>
          <w:rFonts w:ascii="Times New Roman;serif" w:hAnsi="Times New Roman;serif"/>
          <w:b/>
          <w:color w:val="000000"/>
          <w:sz w:val="20"/>
        </w:rPr>
        <w:t xml:space="preserve">CONSOLIDATED BALANCE SHEETS </w:t>
      </w:r>
    </w:p>
    <w:p>
      <w:pPr>
        <w:pStyle w:val="TextBody"/>
        <w:bidi w:val="0"/>
        <w:spacing w:lineRule="auto" w:line="288" w:before="120" w:after="120"/>
        <w:jc w:val="center"/>
        <w:rPr/>
      </w:pPr>
      <w:r>
        <w:rPr>
          <w:rFonts w:ascii="Times New Roman;serif" w:hAnsi="Times New Roman;serif"/>
          <w:b/>
          <w:color w:val="000000"/>
          <w:sz w:val="20"/>
        </w:rPr>
        <w:t xml:space="preserve">(In thousands </w:t>
      </w:r>
      <w:r>
        <w:rPr>
          <w:rFonts w:ascii="Times New Roman;serif" w:hAnsi="Times New Roman;serif"/>
          <w:b/>
          <w:color w:val="000000"/>
          <w:sz w:val="21"/>
        </w:rPr>
        <w:t>except for share data and per share data</w:t>
      </w:r>
      <w:r>
        <w:rPr>
          <w:rFonts w:ascii="Times New Roman;serif" w:hAnsi="Times New Roman;serif"/>
          <w:b/>
          <w:color w:val="000000"/>
          <w:sz w:val="20"/>
        </w:rPr>
        <w:t xml:space="preserve">)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7607" w:type="dxa"/>
        <w:jc w:val="left"/>
        <w:tblInd w:w="0" w:type="dxa"/>
        <w:tblLayout w:type="fixed"/>
        <w:tblCellMar>
          <w:top w:w="28" w:type="dxa"/>
          <w:left w:w="28" w:type="dxa"/>
          <w:bottom w:w="28" w:type="dxa"/>
          <w:right w:w="28" w:type="dxa"/>
        </w:tblCellMar>
      </w:tblPr>
      <w:tblGrid>
        <w:gridCol w:w="1118"/>
        <w:gridCol w:w="984"/>
        <w:gridCol w:w="988"/>
        <w:gridCol w:w="109"/>
        <w:gridCol w:w="109"/>
        <w:gridCol w:w="109"/>
        <w:gridCol w:w="109"/>
        <w:gridCol w:w="109"/>
        <w:gridCol w:w="109"/>
        <w:gridCol w:w="109"/>
        <w:gridCol w:w="109"/>
        <w:gridCol w:w="109"/>
        <w:gridCol w:w="231"/>
        <w:gridCol w:w="1089"/>
        <w:gridCol w:w="119"/>
        <w:gridCol w:w="109"/>
        <w:gridCol w:w="109"/>
        <w:gridCol w:w="109"/>
        <w:gridCol w:w="275"/>
        <w:gridCol w:w="1294"/>
        <w:gridCol w:w="201"/>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708,935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690,662</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435,884 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431,455 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521,283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511,797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1,230,218</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1,202,459</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0" w:after="0"/>
        <w:jc w:val="center"/>
        <w:rPr/>
      </w:pPr>
      <w:r>
        <w:rPr>
          <w:rFonts w:ascii="Times New Roman;serif" w:hAnsi="Times New Roman;serif"/>
          <w:b/>
          <w:color w:val="000000"/>
          <w:sz w:val="20"/>
        </w:rPr>
        <w:t>CONDENSED</w:t>
      </w:r>
      <w:r>
        <w:rPr>
          <w:color w:val="000000"/>
        </w:rPr>
        <w:t xml:space="preserve"> </w:t>
      </w:r>
      <w:r>
        <w:rPr>
          <w:rFonts w:ascii="Times New Roman;serif" w:hAnsi="Times New Roman;serif"/>
          <w:b/>
          <w:color w:val="000000"/>
          <w:sz w:val="20"/>
        </w:rPr>
        <w:t xml:space="preserve">CONSOLIDATED BALANCE SHEETS </w:t>
      </w:r>
    </w:p>
    <w:p>
      <w:pPr>
        <w:pStyle w:val="TextBody"/>
        <w:bidi w:val="0"/>
        <w:spacing w:lineRule="auto" w:line="288" w:before="120" w:after="120"/>
        <w:jc w:val="center"/>
        <w:rPr/>
      </w:pPr>
      <w:r>
        <w:rPr>
          <w:rFonts w:ascii="Times New Roman;serif" w:hAnsi="Times New Roman;serif"/>
          <w:b/>
          <w:color w:val="000000"/>
          <w:sz w:val="20"/>
        </w:rPr>
        <w:t xml:space="preserve">(In thousands </w:t>
      </w:r>
      <w:r>
        <w:rPr>
          <w:rFonts w:ascii="Times New Roman;serif" w:hAnsi="Times New Roman;serif"/>
          <w:b/>
          <w:color w:val="000000"/>
          <w:sz w:val="21"/>
        </w:rPr>
        <w:t>except for share data and per share data</w:t>
      </w:r>
      <w:r>
        <w:rPr>
          <w:rFonts w:ascii="Times New Roman;serif" w:hAnsi="Times New Roman;serif"/>
          <w:b/>
          <w:color w:val="000000"/>
          <w:sz w:val="20"/>
        </w:rPr>
        <w:t>)</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8494" w:type="dxa"/>
        <w:jc w:val="left"/>
        <w:tblInd w:w="0" w:type="dxa"/>
        <w:tblLayout w:type="fixed"/>
        <w:tblCellMar>
          <w:top w:w="28" w:type="dxa"/>
          <w:left w:w="28" w:type="dxa"/>
          <w:bottom w:w="28" w:type="dxa"/>
          <w:right w:w="28" w:type="dxa"/>
        </w:tblCellMar>
      </w:tblPr>
      <w:tblGrid>
        <w:gridCol w:w="1559"/>
        <w:gridCol w:w="1371"/>
        <w:gridCol w:w="1374"/>
        <w:gridCol w:w="109"/>
        <w:gridCol w:w="109"/>
        <w:gridCol w:w="109"/>
        <w:gridCol w:w="109"/>
        <w:gridCol w:w="109"/>
        <w:gridCol w:w="109"/>
        <w:gridCol w:w="261"/>
        <w:gridCol w:w="1043"/>
        <w:gridCol w:w="135"/>
        <w:gridCol w:w="109"/>
        <w:gridCol w:w="109"/>
        <w:gridCol w:w="109"/>
        <w:gridCol w:w="309"/>
        <w:gridCol w:w="1235"/>
        <w:gridCol w:w="226"/>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98,780 </w:t>
            </w:r>
          </w:p>
        </w:tc>
        <w:tc>
          <w:tcPr>
            <w:tcW w:w="1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105,407 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106,675 </w:t>
            </w:r>
          </w:p>
        </w:tc>
        <w:tc>
          <w:tcPr>
            <w:tcW w:w="1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100,326 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107,821 </w:t>
            </w:r>
          </w:p>
        </w:tc>
        <w:tc>
          <w:tcPr>
            <w:tcW w:w="1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112,547 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342,942</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342,248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income tax payable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376,977</w:t>
            </w:r>
            <w:r>
              <w:rPr>
                <w:color w:val="000000"/>
              </w:rPr>
              <w:t> </w:t>
            </w:r>
          </w:p>
        </w:tc>
        <w:tc>
          <w:tcPr>
            <w:tcW w:w="13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374,412</w:t>
            </w:r>
            <w:r>
              <w:rPr>
                <w:color w:val="000000"/>
              </w:rPr>
              <w:t> </w:t>
            </w:r>
          </w:p>
        </w:tc>
        <w:tc>
          <w:tcPr>
            <w:tcW w:w="22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719,919</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716,660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doub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doub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doub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0" w:after="0"/>
        <w:jc w:val="center"/>
        <w:rPr/>
      </w:pPr>
      <w:r>
        <w:rPr>
          <w:rFonts w:ascii="Times New Roman;serif" w:hAnsi="Times New Roman;serif"/>
          <w:b/>
          <w:color w:val="000000"/>
          <w:sz w:val="20"/>
        </w:rPr>
        <w:t>CONDENSED</w:t>
      </w:r>
      <w:r>
        <w:rPr>
          <w:color w:val="000000"/>
        </w:rPr>
        <w:t xml:space="preserve"> </w:t>
      </w:r>
      <w:r>
        <w:rPr>
          <w:rFonts w:ascii="Times New Roman;serif" w:hAnsi="Times New Roman;serif"/>
          <w:b/>
          <w:color w:val="000000"/>
          <w:sz w:val="20"/>
        </w:rPr>
        <w:t xml:space="preserve">CONSOLIDATED BALANCE SHEETS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(In thousands except for share data and per share data)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24"/>
        <w:gridCol w:w="2018"/>
        <w:gridCol w:w="2022"/>
        <w:gridCol w:w="109"/>
        <w:gridCol w:w="109"/>
        <w:gridCol w:w="109"/>
        <w:gridCol w:w="109"/>
        <w:gridCol w:w="109"/>
        <w:gridCol w:w="109"/>
        <w:gridCol w:w="218"/>
        <w:gridCol w:w="1025"/>
        <w:gridCol w:w="112"/>
        <w:gridCol w:w="109"/>
        <w:gridCol w:w="109"/>
        <w:gridCol w:w="109"/>
        <w:gridCol w:w="233"/>
        <w:gridCol w:w="1098"/>
        <w:gridCol w:w="174"/>
      </w:tblGrid>
      <w:tr>
        <w:trPr/>
        <w:tc>
          <w:tcPr>
            <w:tcW w:w="2324"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3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(304,321 and 237,269 shares held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ordinary shares ($0.05 par value, 50,673,268 shares authorized, 29,455,790 and 29,637,687 shares issued and outstanding as of March 31, 2026 and December 31, 2025, respectively)</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ordinary shares ($0.05 par value, 9,326,732 shares authorized, 7,156,732 and 7,276,732 shares issued and outstanding as of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87,395 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88,674 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433,500 </w:t>
            </w:r>
          </w:p>
        </w:tc>
        <w:tc>
          <w:tcPr>
            <w:tcW w:w="11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400,866 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510,299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485,799</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1,230,218</w:t>
            </w:r>
            <w:r>
              <w:rPr>
                <w:color w:val="000000"/>
              </w:rPr>
              <w:t> </w:t>
            </w:r>
          </w:p>
        </w:tc>
        <w:tc>
          <w:tcPr>
            <w:tcW w:w="11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1,202,459</w:t>
            </w:r>
            <w:r>
              <w:rPr>
                <w:color w:val="000000"/>
              </w:rPr>
              <w:t> </w:t>
            </w:r>
          </w:p>
        </w:tc>
        <w:tc>
          <w:tcPr>
            <w:tcW w:w="17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w:t>
      </w:r>
      <w:bookmarkStart w:id="1" w:name="i244935f567884a548465a72c5d9c4f0b_266"/>
      <w:bookmarkEnd w:id="1"/>
      <w:r>
        <w:rPr>
          <w:rFonts w:ascii="Times New Roman;serif" w:hAnsi="Times New Roman;serif"/>
          <w:b/>
          <w:color w:val="000000"/>
          <w:sz w:val="20"/>
        </w:rPr>
        <w:t xml:space="preserve">CONSOLIDATED STATEMENTS OF COMPREHENSIVE INCOME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(In thousands except for share data and per share data)</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84"/>
        <w:gridCol w:w="2317"/>
        <w:gridCol w:w="2330"/>
        <w:gridCol w:w="227"/>
        <w:gridCol w:w="890"/>
        <w:gridCol w:w="117"/>
        <w:gridCol w:w="117"/>
        <w:gridCol w:w="117"/>
        <w:gridCol w:w="117"/>
        <w:gridCol w:w="227"/>
        <w:gridCol w:w="792"/>
        <w:gridCol w:w="170"/>
      </w:tblGrid>
      <w:tr>
        <w:trPr/>
        <w:tc>
          <w:tcPr>
            <w:tcW w:w="278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34"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242,948 </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177,838 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234"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167,012 </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129,024 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273,642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208,180</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1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85,846</w:t>
            </w:r>
            <w:r>
              <w:rPr>
                <w:color w:val="000000"/>
              </w:rPr>
              <w:t> </w:t>
            </w:r>
          </w:p>
        </w:tc>
        <w:tc>
          <w:tcPr>
            <w:tcW w:w="1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63,726</w:t>
            </w:r>
            <w:r>
              <w:rPr>
                <w:color w:val="000000"/>
              </w:rPr>
              <w:t> </w:t>
            </w:r>
          </w:p>
        </w:tc>
        <w:tc>
          <w:tcPr>
            <w:tcW w:w="17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disposal of property and equipment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1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43,367</w:t>
            </w:r>
            <w:r>
              <w:rPr>
                <w:color w:val="000000"/>
              </w:rPr>
              <w:t> </w:t>
            </w:r>
          </w:p>
        </w:tc>
        <w:tc>
          <w:tcPr>
            <w:tcW w:w="1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35,403</w:t>
            </w:r>
            <w:r>
              <w:rPr>
                <w:color w:val="000000"/>
              </w:rPr>
              <w:t> </w:t>
            </w:r>
          </w:p>
        </w:tc>
        <w:tc>
          <w:tcPr>
            <w:tcW w:w="17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42,479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28,323</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gains (losses), net</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1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45,917</w:t>
            </w:r>
            <w:r>
              <w:rPr>
                <w:color w:val="000000"/>
              </w:rPr>
              <w:t> </w:t>
            </w:r>
          </w:p>
        </w:tc>
        <w:tc>
          <w:tcPr>
            <w:tcW w:w="1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32,505</w:t>
            </w:r>
            <w:r>
              <w:rPr>
                <w:color w:val="000000"/>
              </w:rPr>
              <w:t> </w:t>
            </w:r>
          </w:p>
        </w:tc>
        <w:tc>
          <w:tcPr>
            <w:tcW w:w="17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38,124</w:t>
            </w:r>
            <w:r>
              <w:rPr>
                <w:color w:val="000000"/>
              </w:rPr>
              <w:t> </w:t>
            </w:r>
          </w:p>
        </w:tc>
        <w:tc>
          <w:tcPr>
            <w:tcW w:w="1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27,146</w:t>
            </w:r>
            <w:r>
              <w:rPr>
                <w:color w:val="000000"/>
              </w:rPr>
              <w:t> </w:t>
            </w:r>
          </w:p>
        </w:tc>
        <w:tc>
          <w:tcPr>
            <w:tcW w:w="17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nil income taxes</w:t>
            </w:r>
          </w:p>
        </w:tc>
        <w:tc>
          <w:tcPr>
            <w:tcW w:w="11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Intra-entity foreign currency transactions gain (loss)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foreign currency translation reserve related to liquidation of subsidiaries</w:t>
            </w:r>
          </w:p>
        </w:tc>
        <w:tc>
          <w:tcPr>
            <w:tcW w:w="111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(1,702)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2,040</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2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36,422</w:t>
            </w:r>
            <w:r>
              <w:rPr>
                <w:color w:val="000000"/>
              </w:rPr>
              <w:t> </w:t>
            </w:r>
          </w:p>
        </w:tc>
        <w:tc>
          <w:tcPr>
            <w:tcW w:w="1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29,186</w:t>
            </w:r>
            <w:r>
              <w:rPr>
                <w:color w:val="000000"/>
              </w:rPr>
              <w:t> </w:t>
            </w:r>
          </w:p>
        </w:tc>
        <w:tc>
          <w:tcPr>
            <w:tcW w:w="17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per ordinary share</w:t>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227"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number of ordinary shares outstanding used in computing net income per ordinary share</w:t>
            </w:r>
          </w:p>
        </w:tc>
        <w:tc>
          <w:tcPr>
            <w:tcW w:w="1234"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36,683,938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40,020,265</w:t>
            </w:r>
          </w:p>
        </w:tc>
      </w:tr>
      <w:tr>
        <w:trPr/>
        <w:tc>
          <w:tcPr>
            <w:tcW w:w="743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1234" w:type="dxa"/>
            <w:gridSpan w:val="3"/>
            <w:tcBorders>
              <w:top w:val="doub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36,771,570</w:t>
            </w:r>
          </w:p>
        </w:tc>
        <w:tc>
          <w:tcPr>
            <w:tcW w:w="3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40,138,522</w:t>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0" w:after="0"/>
        <w:jc w:val="center"/>
        <w:rPr/>
      </w:pPr>
      <w:r>
        <w:rPr>
          <w:rFonts w:ascii="Times New Roman;serif" w:hAnsi="Times New Roman;serif"/>
          <w:b/>
          <w:color w:val="000000"/>
          <w:sz w:val="20"/>
        </w:rPr>
        <w:t>CONDENSED</w:t>
      </w:r>
      <w:r>
        <w:rPr>
          <w:color w:val="000000"/>
        </w:rPr>
        <w:t xml:space="preserve"> </w:t>
      </w:r>
      <w:bookmarkStart w:id="2" w:name="ic96995863d914b5f9c04443ed0a45817_516"/>
      <w:bookmarkEnd w:id="2"/>
      <w:r>
        <w:rPr>
          <w:rFonts w:ascii="Times New Roman;serif" w:hAnsi="Times New Roman;serif"/>
          <w:b/>
          <w:color w:val="000000"/>
          <w:sz w:val="20"/>
        </w:rPr>
        <w:t xml:space="preserve">CONSOLIDATED STATEMENTS OF CHANGES IN SHAREHOLDERS’ EQUITY </w:t>
      </w:r>
    </w:p>
    <w:p>
      <w:pPr>
        <w:pStyle w:val="TextBody"/>
        <w:bidi w:val="0"/>
        <w:spacing w:lineRule="auto" w:line="288" w:before="120" w:after="120"/>
        <w:jc w:val="center"/>
        <w:rPr/>
      </w:pPr>
      <w:r>
        <w:rPr>
          <w:rFonts w:ascii="Times New Roman;serif" w:hAnsi="Times New Roman;serif"/>
          <w:b/>
          <w:color w:val="000000"/>
          <w:sz w:val="20"/>
        </w:rPr>
        <w:t>(In thousands except for share data</w:t>
      </w:r>
      <w:r>
        <w:rPr>
          <w:rFonts w:ascii="Times New Roman;serif" w:hAnsi="Times New Roman;serif"/>
          <w:b w:val="false"/>
          <w:color w:val="000000"/>
          <w:sz w:val="20"/>
        </w:rPr>
        <w:t>)</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4364" w:type="dxa"/>
        <w:jc w:val="left"/>
        <w:tblInd w:w="0" w:type="dxa"/>
        <w:tblLayout w:type="fixed"/>
        <w:tblCellMar>
          <w:top w:w="28" w:type="dxa"/>
          <w:left w:w="28" w:type="dxa"/>
          <w:bottom w:w="28" w:type="dxa"/>
          <w:right w:w="28" w:type="dxa"/>
        </w:tblCellMar>
      </w:tblPr>
      <w:tblGrid>
        <w:gridCol w:w="851"/>
        <w:gridCol w:w="234"/>
        <w:gridCol w:w="236"/>
        <w:gridCol w:w="375"/>
        <w:gridCol w:w="376"/>
        <w:gridCol w:w="308"/>
        <w:gridCol w:w="109"/>
        <w:gridCol w:w="109"/>
        <w:gridCol w:w="109"/>
        <w:gridCol w:w="196"/>
        <w:gridCol w:w="571"/>
        <w:gridCol w:w="109"/>
        <w:gridCol w:w="109"/>
        <w:gridCol w:w="109"/>
        <w:gridCol w:w="109"/>
        <w:gridCol w:w="451"/>
        <w:gridCol w:w="435"/>
        <w:gridCol w:w="251"/>
        <w:gridCol w:w="109"/>
        <w:gridCol w:w="109"/>
        <w:gridCol w:w="109"/>
        <w:gridCol w:w="196"/>
        <w:gridCol w:w="436"/>
        <w:gridCol w:w="109"/>
        <w:gridCol w:w="109"/>
        <w:gridCol w:w="109"/>
        <w:gridCol w:w="109"/>
        <w:gridCol w:w="501"/>
        <w:gridCol w:w="250"/>
        <w:gridCol w:w="251"/>
        <w:gridCol w:w="109"/>
        <w:gridCol w:w="109"/>
        <w:gridCol w:w="109"/>
        <w:gridCol w:w="196"/>
        <w:gridCol w:w="661"/>
        <w:gridCol w:w="109"/>
        <w:gridCol w:w="109"/>
        <w:gridCol w:w="109"/>
        <w:gridCol w:w="109"/>
        <w:gridCol w:w="196"/>
        <w:gridCol w:w="661"/>
        <w:gridCol w:w="109"/>
        <w:gridCol w:w="109"/>
        <w:gridCol w:w="109"/>
        <w:gridCol w:w="109"/>
        <w:gridCol w:w="262"/>
        <w:gridCol w:w="763"/>
        <w:gridCol w:w="146"/>
        <w:gridCol w:w="109"/>
        <w:gridCol w:w="109"/>
        <w:gridCol w:w="109"/>
        <w:gridCol w:w="196"/>
        <w:gridCol w:w="751"/>
        <w:gridCol w:w="109"/>
        <w:gridCol w:w="109"/>
        <w:gridCol w:w="109"/>
        <w:gridCol w:w="109"/>
        <w:gridCol w:w="200"/>
        <w:gridCol w:w="768"/>
        <w:gridCol w:w="158"/>
      </w:tblGrid>
      <w:tr>
        <w:trPr/>
        <w:tc>
          <w:tcPr>
            <w:tcW w:w="8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 xml:space="preserve">equity </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Balance as of January 1, 2026 </w:t>
            </w:r>
          </w:p>
        </w:tc>
        <w:tc>
          <w:tcPr>
            <w:tcW w:w="105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29,637,687</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1,495</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7,276,732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363</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237,269</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(7,126)</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88,674</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1,527</w:t>
            </w:r>
            <w:r>
              <w:rPr>
                <w:color w:val="000000"/>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400,866</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485,799</w:t>
            </w:r>
            <w:r>
              <w:rPr>
                <w:color w:val="000000"/>
              </w:rPr>
              <w:t> </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38,124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2,424 </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345</w:t>
            </w:r>
            <w:r>
              <w:rPr>
                <w:color w:val="000000"/>
              </w:rPr>
              <w:t> </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(304,321)</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304,321 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(12,267)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shares</w:t>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(237,269)</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(1,624)</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(5,490)</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Re-designated ordinary shares from Class B to Class A</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nil income taxes</w:t>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(52)</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available-for-sale investments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Intra-entity foreign currency transactions loss</w:t>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(1,609)</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foreign currency translation reserve related to liquidation of subsidiaries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1059"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29,455,790</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1,489</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7,156,732</w:t>
            </w:r>
            <w:r>
              <w:rPr>
                <w:color w:val="000000"/>
              </w:rPr>
              <w:t> </w:t>
            </w:r>
          </w:p>
        </w:tc>
        <w:tc>
          <w:tcPr>
            <w:tcW w:w="25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357</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304,321</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(12,267)</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87,395</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(175)</w:t>
            </w:r>
          </w:p>
        </w:tc>
        <w:tc>
          <w:tcPr>
            <w:tcW w:w="14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433,500</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510,299</w:t>
            </w:r>
            <w:r>
              <w:rPr>
                <w:color w:val="000000"/>
              </w:rPr>
              <w:t> </w:t>
            </w:r>
          </w:p>
        </w:tc>
        <w:tc>
          <w:tcPr>
            <w:tcW w:w="15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0" w:after="0"/>
        <w:jc w:val="center"/>
        <w:rPr/>
      </w:pPr>
      <w:r>
        <w:rPr>
          <w:rFonts w:ascii="Times New Roman;serif" w:hAnsi="Times New Roman;serif"/>
          <w:b/>
          <w:color w:val="000000"/>
          <w:sz w:val="20"/>
        </w:rPr>
        <w:t>CONDENSED</w:t>
      </w:r>
      <w:r>
        <w:rPr>
          <w:color w:val="000000"/>
        </w:rPr>
        <w:t xml:space="preserve"> </w:t>
      </w:r>
      <w:r>
        <w:rPr>
          <w:rFonts w:ascii="Times New Roman;serif" w:hAnsi="Times New Roman;serif"/>
          <w:b/>
          <w:color w:val="000000"/>
          <w:sz w:val="20"/>
        </w:rPr>
        <w:t xml:space="preserve">CONSOLIDATED STATEMENTS OF CHANGES IN SHAREHOLDERS’ EQUITY </w:t>
      </w:r>
    </w:p>
    <w:p>
      <w:pPr>
        <w:pStyle w:val="TextBody"/>
        <w:bidi w:val="0"/>
        <w:spacing w:lineRule="auto" w:line="288" w:before="120" w:after="120"/>
        <w:jc w:val="center"/>
        <w:rPr/>
      </w:pPr>
      <w:r>
        <w:rPr>
          <w:rFonts w:ascii="Times New Roman;serif" w:hAnsi="Times New Roman;serif"/>
          <w:b/>
          <w:color w:val="000000"/>
          <w:sz w:val="20"/>
        </w:rPr>
        <w:t>(In thousands except for share data</w:t>
      </w:r>
      <w:r>
        <w:rPr>
          <w:rFonts w:ascii="Times New Roman;serif" w:hAnsi="Times New Roman;serif"/>
          <w:b w:val="false"/>
          <w:color w:val="000000"/>
          <w:sz w:val="20"/>
        </w:rPr>
        <w:t>)</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20" w:after="120"/>
        <w:jc w:val="center"/>
        <w:rPr/>
      </w:pPr>
      <w:r>
        <w:rPr/>
      </w:r>
    </w:p>
    <w:tbl>
      <w:tblPr>
        <w:tblW w:w="14398" w:type="dxa"/>
        <w:jc w:val="left"/>
        <w:tblInd w:w="0" w:type="dxa"/>
        <w:tblLayout w:type="fixed"/>
        <w:tblCellMar>
          <w:top w:w="28" w:type="dxa"/>
          <w:left w:w="28" w:type="dxa"/>
          <w:bottom w:w="28" w:type="dxa"/>
          <w:right w:w="28" w:type="dxa"/>
        </w:tblCellMar>
      </w:tblPr>
      <w:tblGrid>
        <w:gridCol w:w="851"/>
        <w:gridCol w:w="234"/>
        <w:gridCol w:w="236"/>
        <w:gridCol w:w="443"/>
        <w:gridCol w:w="443"/>
        <w:gridCol w:w="308"/>
        <w:gridCol w:w="109"/>
        <w:gridCol w:w="109"/>
        <w:gridCol w:w="109"/>
        <w:gridCol w:w="196"/>
        <w:gridCol w:w="571"/>
        <w:gridCol w:w="109"/>
        <w:gridCol w:w="109"/>
        <w:gridCol w:w="109"/>
        <w:gridCol w:w="109"/>
        <w:gridCol w:w="294"/>
        <w:gridCol w:w="281"/>
        <w:gridCol w:w="251"/>
        <w:gridCol w:w="109"/>
        <w:gridCol w:w="109"/>
        <w:gridCol w:w="109"/>
        <w:gridCol w:w="196"/>
        <w:gridCol w:w="436"/>
        <w:gridCol w:w="109"/>
        <w:gridCol w:w="109"/>
        <w:gridCol w:w="109"/>
        <w:gridCol w:w="109"/>
        <w:gridCol w:w="524"/>
        <w:gridCol w:w="347"/>
        <w:gridCol w:w="251"/>
        <w:gridCol w:w="109"/>
        <w:gridCol w:w="109"/>
        <w:gridCol w:w="109"/>
        <w:gridCol w:w="196"/>
        <w:gridCol w:w="661"/>
        <w:gridCol w:w="109"/>
        <w:gridCol w:w="109"/>
        <w:gridCol w:w="109"/>
        <w:gridCol w:w="109"/>
        <w:gridCol w:w="196"/>
        <w:gridCol w:w="751"/>
        <w:gridCol w:w="109"/>
        <w:gridCol w:w="109"/>
        <w:gridCol w:w="109"/>
        <w:gridCol w:w="109"/>
        <w:gridCol w:w="262"/>
        <w:gridCol w:w="763"/>
        <w:gridCol w:w="146"/>
        <w:gridCol w:w="109"/>
        <w:gridCol w:w="109"/>
        <w:gridCol w:w="109"/>
        <w:gridCol w:w="196"/>
        <w:gridCol w:w="751"/>
        <w:gridCol w:w="109"/>
        <w:gridCol w:w="109"/>
        <w:gridCol w:w="109"/>
        <w:gridCol w:w="109"/>
        <w:gridCol w:w="200"/>
        <w:gridCol w:w="768"/>
        <w:gridCol w:w="158"/>
      </w:tblGrid>
      <w:tr>
        <w:trPr/>
        <w:tc>
          <w:tcPr>
            <w:tcW w:w="8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ordinary</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Balance as of January 1, 2025 </w:t>
            </w:r>
          </w:p>
        </w:tc>
        <w:tc>
          <w:tcPr>
            <w:tcW w:w="119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32,269,345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1,643</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8,076,732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403</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609,390</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(11,816)</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120,262</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(4,136)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298,861</w:t>
            </w: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405,217</w:t>
            </w:r>
            <w:r>
              <w:rPr>
                <w:color w:val="000000"/>
              </w:rPr>
              <w:t> </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27,146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8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4,176 </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1,228</w:t>
            </w:r>
            <w:r>
              <w:rPr>
                <w:color w:val="000000"/>
              </w:rPr>
              <w:t> </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(1,400,986)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1,400,986 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(22,734)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net of nil income taxes</w:t>
            </w:r>
          </w:p>
        </w:tc>
        <w:tc>
          <w:tcPr>
            <w:tcW w:w="88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411</w:t>
            </w:r>
            <w:r>
              <w:rPr>
                <w:color w:val="000000"/>
              </w:rPr>
              <w:t> </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available-for-sale investments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Intra-entity foreign currency transactions gain</w:t>
            </w:r>
          </w:p>
        </w:tc>
        <w:tc>
          <w:tcPr>
            <w:tcW w:w="88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1,636</w:t>
            </w:r>
            <w:r>
              <w:rPr>
                <w:color w:val="000000"/>
              </w:rPr>
              <w:t> </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foreign currency translation reserve related to liquidation of subsidiaries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Balance as of March 31, 2025 </w:t>
            </w:r>
          </w:p>
        </w:tc>
        <w:tc>
          <w:tcPr>
            <w:tcW w:w="1194"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30,872,535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1,643</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8,076,732</w:t>
            </w:r>
          </w:p>
        </w:tc>
        <w:tc>
          <w:tcPr>
            <w:tcW w:w="327" w:type="dxa"/>
            <w:gridSpan w:val="3"/>
            <w:tcBorders>
              <w:bottom w:val="single" w:sz="8"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403</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2,008,984</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(34,550)</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121,490</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(2,096)</w:t>
            </w:r>
          </w:p>
        </w:tc>
        <w:tc>
          <w:tcPr>
            <w:tcW w:w="14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326,007</w:t>
            </w:r>
            <w:r>
              <w:rPr>
                <w:color w:val="000000"/>
              </w:rPr>
              <w:t> </w:t>
            </w:r>
          </w:p>
        </w:tc>
        <w:tc>
          <w:tcPr>
            <w:tcW w:w="10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412,897</w:t>
            </w:r>
            <w:r>
              <w:rPr>
                <w:color w:val="000000"/>
              </w:rPr>
              <w:t> </w:t>
            </w:r>
          </w:p>
        </w:tc>
        <w:tc>
          <w:tcPr>
            <w:tcW w:w="15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120" w:after="120"/>
        <w:jc w:val="center"/>
        <w:rPr/>
      </w:pPr>
      <w:r>
        <w:rPr>
          <w:rFonts w:ascii="Times New Roman;serif" w:hAnsi="Times New Roman;serif"/>
          <w:b/>
          <w:color w:val="000000"/>
          <w:sz w:val="20"/>
        </w:rPr>
        <w:t>CONDENSED</w:t>
      </w:r>
      <w:r>
        <w:rPr>
          <w:color w:val="000000"/>
        </w:rPr>
        <w:t xml:space="preserve"> </w:t>
      </w:r>
      <w:bookmarkStart w:id="3" w:name="iaf6096fc533f4acbb3f6a55fe38a2ffc_430"/>
      <w:bookmarkEnd w:id="3"/>
      <w:r>
        <w:rPr>
          <w:rFonts w:ascii="Times New Roman;serif" w:hAnsi="Times New Roman;serif"/>
          <w:b/>
          <w:color w:val="000000"/>
          <w:sz w:val="20"/>
        </w:rPr>
        <w:t xml:space="preserve">CONSOLIDATED STATEMENTS OF CASH FLOWS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70"/>
        <w:gridCol w:w="2345"/>
        <w:gridCol w:w="2362"/>
        <w:gridCol w:w="235"/>
        <w:gridCol w:w="889"/>
        <w:gridCol w:w="121"/>
        <w:gridCol w:w="121"/>
        <w:gridCol w:w="121"/>
        <w:gridCol w:w="121"/>
        <w:gridCol w:w="235"/>
        <w:gridCol w:w="806"/>
        <w:gridCol w:w="179"/>
      </w:tblGrid>
      <w:tr>
        <w:trPr/>
        <w:tc>
          <w:tcPr>
            <w:tcW w:w="267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4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to net cash provided by (used in) operating activities:</w:t>
            </w:r>
          </w:p>
        </w:tc>
        <w:tc>
          <w:tcPr>
            <w:tcW w:w="124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receivables</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(10,159)</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(9,011)</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inventories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prepayments and other assets</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payable, accrued expenses and other current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contract liabilities</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income tax payable</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deferred income taxes</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1124"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(21,735)</w:t>
            </w:r>
          </w:p>
        </w:tc>
        <w:tc>
          <w:tcPr>
            <w:tcW w:w="12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9,433</w:t>
            </w:r>
            <w:r>
              <w:rPr>
                <w:color w:val="000000"/>
              </w:rPr>
              <w:t> </w:t>
            </w:r>
          </w:p>
        </w:tc>
        <w:tc>
          <w:tcPr>
            <w:tcW w:w="17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 of property and equipment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(13,329)</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investments</w:t>
            </w:r>
          </w:p>
        </w:tc>
        <w:tc>
          <w:tcPr>
            <w:tcW w:w="1124"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27,793 </w:t>
            </w:r>
          </w:p>
        </w:tc>
        <w:tc>
          <w:tcPr>
            <w:tcW w:w="1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31,986 </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(14,807)</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4,625</w:t>
            </w:r>
            <w:r>
              <w:rPr>
                <w:color w:val="000000"/>
              </w:rPr>
              <w:t> </w:t>
            </w:r>
          </w:p>
        </w:tc>
        <w:tc>
          <w:tcPr>
            <w:tcW w:w="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e12099b929404831a474b9a82b728aed_7">
        <w:r>
          <w:rPr>
            <w:rStyle w:val="InternetLink"/>
            <w:rFonts w:ascii="Times New Roman;serif" w:hAnsi="Times New Roman;serif"/>
            <w:b/>
            <w:color w:val="0000FF"/>
            <w:sz w:val="20"/>
            <w:u w:val="single"/>
          </w:rPr>
          <w:t>Table of Contents</w:t>
        </w:r>
      </w:hyperlink>
    </w:p>
    <w:p>
      <w:pPr>
        <w:pStyle w:val="TextBody"/>
        <w:bidi w:val="0"/>
        <w:spacing w:before="360" w:after="120"/>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GigaCloud Technology Inc </w:t>
      </w:r>
    </w:p>
    <w:p>
      <w:pPr>
        <w:pStyle w:val="TextBody"/>
        <w:bidi w:val="0"/>
        <w:spacing w:lineRule="auto" w:line="288" w:before="0" w:after="0"/>
        <w:jc w:val="center"/>
        <w:rPr/>
      </w:pPr>
      <w:r>
        <w:rPr>
          <w:rFonts w:ascii="Times New Roman;serif" w:hAnsi="Times New Roman;serif"/>
          <w:b/>
          <w:color w:val="000000"/>
          <w:sz w:val="20"/>
        </w:rPr>
        <w:t>CONDENSED</w:t>
      </w:r>
      <w:r>
        <w:rPr>
          <w:color w:val="000000"/>
        </w:rPr>
        <w:t xml:space="preserve"> </w:t>
      </w:r>
      <w:r>
        <w:rPr>
          <w:rFonts w:ascii="Times New Roman;serif" w:hAnsi="Times New Roman;serif"/>
          <w:b/>
          <w:color w:val="000000"/>
          <w:sz w:val="20"/>
        </w:rPr>
        <w:t xml:space="preserve">CONSOLIDATED STATEMENTS OF CASH FLOWS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86"/>
        <w:gridCol w:w="2338"/>
        <w:gridCol w:w="2354"/>
        <w:gridCol w:w="221"/>
        <w:gridCol w:w="882"/>
        <w:gridCol w:w="113"/>
        <w:gridCol w:w="113"/>
        <w:gridCol w:w="113"/>
        <w:gridCol w:w="113"/>
        <w:gridCol w:w="221"/>
        <w:gridCol w:w="882"/>
        <w:gridCol w:w="169"/>
      </w:tblGrid>
      <w:tr>
        <w:trPr/>
        <w:tc>
          <w:tcPr>
            <w:tcW w:w="2686"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7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finance lease obligations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ordinary shares</w:t>
            </w:r>
          </w:p>
        </w:tc>
        <w:tc>
          <w:tcPr>
            <w:tcW w:w="1103"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(12,267)</w:t>
            </w:r>
          </w:p>
        </w:tc>
        <w:tc>
          <w:tcPr>
            <w:tcW w:w="11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(22,734)</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(12,415)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(22,768)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cash equivalents and restricted cash</w:t>
            </w:r>
          </w:p>
        </w:tc>
        <w:tc>
          <w:tcPr>
            <w:tcW w:w="1103"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6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(49,503)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(8,036)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1103"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380,540 </w:t>
            </w:r>
          </w:p>
        </w:tc>
        <w:tc>
          <w:tcPr>
            <w:tcW w:w="1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260,444 </w:t>
            </w:r>
          </w:p>
        </w:tc>
        <w:tc>
          <w:tcPr>
            <w:tcW w:w="16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the period</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331,037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252,408</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16"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expense</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2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1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under finance leases</w:t>
            </w:r>
          </w:p>
        </w:tc>
        <w:tc>
          <w:tcPr>
            <w:tcW w:w="22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1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and consideration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pPr>
      <w:r>
        <w:rPr>
          <w:rFonts w:ascii="Times New Roman;serif" w:hAnsi="Times New Roman;serif"/>
          <w:b/>
          <w:color w:val="000000"/>
          <w:sz w:val="20"/>
        </w:rPr>
        <w:t>1.</w:t>
      </w:r>
      <w:r>
        <w:rPr>
          <w:rFonts w:ascii="Times New Roman;serif" w:hAnsi="Times New Roman;serif"/>
          <w:b/>
          <w:color w:val="000000"/>
          <w:sz w:val="20"/>
        </w:rPr>
        <w:t>SUMMARY OF SIGNIFICANT ACCOUNTING POLICIES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GigaCloud Technology Inc (the “Company”), a limited liability company incorporated in the Cayman Islands, with its subsidiaries (collectively referred to as the “Group”, “we” or “our”) are principally engaged in large parcel merchandise sales and the provision of B2B technology solutions by utilizing the Group’s online platform (“GigaCloud Marketplace”) and fulfillment network primarily located in the United States, Japan, Europe, and Canada.</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Organization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as of March 31, 2026 include the financial statements of the Company and its subsidiaries, and the consolidated statements in this Form 10-Q, should be read in conjunction with the consolidated financial statements and the related notes included in our Annual Report on Form 10-K for the fiscal year ended December 31, 2025 filed with the SEC.</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Group have been prepared in accordance with the instructions to Form 10-Q and do not include all of the information and footnotes required by GAAP for complete financial statements. In the opinion of management, all adjustments (consisting of normal recurring accruals) considered necessary for a fair presentation have been included. Results of operations for interim periods are not necessarily indicative of results for the entire year. As a result, these unaudited condensed consolidated financial statements should be read in conjunction with the consolidated financial statements and notes thereto included in the 2025 Form 10-K.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to our significant accounting policies as disclosed in the 2025 Form 10-K.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consist of cash on hand and highly liquid investments purchased with original maturities of three months or less. Cash that is restricted for withdrawal or use is reported separately on the unaudited condensed consolidated balance sheets. The Group’s restricted cash represents security deposits held in designated bank accounts for issuance of letters of guarantee.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cash, cash equivalents and restricted cash in the unaudited condensed consolidated balance sheets to the amounts in the unaudited condensed consolidated statements of cash flows is as follows:</w:t>
      </w:r>
    </w:p>
    <w:tbl>
      <w:tblPr>
        <w:tblW w:w="10205" w:type="dxa"/>
        <w:jc w:val="left"/>
        <w:tblInd w:w="0" w:type="dxa"/>
        <w:tblLayout w:type="fixed"/>
        <w:tblCellMar>
          <w:top w:w="28" w:type="dxa"/>
          <w:left w:w="28" w:type="dxa"/>
          <w:bottom w:w="28" w:type="dxa"/>
          <w:right w:w="28" w:type="dxa"/>
        </w:tblCellMar>
      </w:tblPr>
      <w:tblGrid>
        <w:gridCol w:w="2550"/>
        <w:gridCol w:w="2202"/>
        <w:gridCol w:w="2214"/>
        <w:gridCol w:w="243"/>
        <w:gridCol w:w="971"/>
        <w:gridCol w:w="125"/>
        <w:gridCol w:w="109"/>
        <w:gridCol w:w="109"/>
        <w:gridCol w:w="109"/>
        <w:gridCol w:w="274"/>
        <w:gridCol w:w="1095"/>
        <w:gridCol w:w="204"/>
      </w:tblGrid>
      <w:tr>
        <w:trPr/>
        <w:tc>
          <w:tcPr>
            <w:tcW w:w="255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379,780 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 shown in the unaudited condensed consolidated statements of cash flows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331,037</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380,540</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Concentration and Risk</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Concentration of customers and suppliers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customers individually represented greater than 10.0% of total revenues of the Group for the three months ended March 31, 2026 and 2025.</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customer individually represented greater than 10.0% of total accounts receivable balance as of March 31, 2026, and two customers individually represented greater than 10.0% of total accounts receivable balance as of December 31, 2025, and no other customers accounted for 10.0% or more of total accounts receivable balance as of March 31, 2026 and December 31, 2025.</w:t>
      </w:r>
    </w:p>
    <w:tbl>
      <w:tblPr>
        <w:tblW w:w="5531" w:type="dxa"/>
        <w:jc w:val="center"/>
        <w:tblInd w:w="0" w:type="dxa"/>
        <w:tblLayout w:type="fixed"/>
        <w:tblCellMar>
          <w:top w:w="28" w:type="dxa"/>
          <w:left w:w="28" w:type="dxa"/>
          <w:bottom w:w="28" w:type="dxa"/>
          <w:right w:w="28" w:type="dxa"/>
        </w:tblCellMar>
      </w:tblPr>
      <w:tblGrid>
        <w:gridCol w:w="391"/>
        <w:gridCol w:w="344"/>
        <w:gridCol w:w="345"/>
        <w:gridCol w:w="452"/>
        <w:gridCol w:w="452"/>
        <w:gridCol w:w="1136"/>
        <w:gridCol w:w="109"/>
        <w:gridCol w:w="109"/>
        <w:gridCol w:w="109"/>
        <w:gridCol w:w="424"/>
        <w:gridCol w:w="424"/>
        <w:gridCol w:w="123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proportion of total accounts</w:t>
              <w:br/>
              <w:t xml:space="preserve">receivable balance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proportion of total accounts</w:t>
              <w:br/>
              <w:t xml:space="preserve">receivable balance </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one service provider individually represented 11.1% and 19.1% of total purchases, and no other vendors individually accounted for 10.0% or more of total purchases.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Concentration of credit risk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Group to concentrations of credit risk consist principally of cash, cash equivalents, restricted cash, investments, accounts receivable, and amounts due from third-party payment platforms.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Group’s investment policy requires cash, cash equivalents, restricted cash and investments to be placed with high quality financial institutions and to limit the amount of credit risk from any one institution. The Group regularly evaluates the credit standing of the counterparties or financial institutions.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(Note 4) from product and service sales are exposed to credit risk. The assessment of the counter parties’ creditworthiness is primarily based on past payment history and current ability to pay, taking into account information specific to the counter parties as well as pertaining to the economic environment in which the counter parties operate.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Segment Reporting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Group’s chief operating decision maker (“CODM”), who is its Chief Executive Officer, reviews financial information presented on a consolidated basis and uses consolidated revenue, gross margins, and net income to make decisions about allocating resources and assessing performance of the Group. For the purposes of internal reporting and management’s operational review, the Group’s CODM and management personnel do not segregate the Group’s business by revenue stream or geography. Management has determined that the Group has one operating segment. The measurement of segment assets is reported on the unaudited condensed consolidated balance sheets as total assets. The revenue, costs and expenses, and the net income for the reportable segment are the same as those presented on the unaudited condensed consolidated statements of comprehensive income.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reviews and utilizes significant segment expenses, including cost of revenues, selling and marketing, general and administrative, and research and development at the consolidated level to manage and assess the Company's operations. Other segment items included in the consolidated net income are losses on disposal of property and equipment, interest expense, interest income, foreign currency exchange gains (losses), net, others, net, and income tax expenses, which are reflected in the consolidated statements of operations.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consist of property and equipment and operating lease right-of-use assets. The geographic information for long-lived assets as of March 31, 2026 and December 31, 2025 was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545" w:type="dxa"/>
        <w:jc w:val="left"/>
        <w:tblInd w:w="0" w:type="dxa"/>
        <w:tblLayout w:type="fixed"/>
        <w:tblCellMar>
          <w:top w:w="28" w:type="dxa"/>
          <w:left w:w="28" w:type="dxa"/>
          <w:bottom w:w="28" w:type="dxa"/>
          <w:right w:w="28" w:type="dxa"/>
        </w:tblCellMar>
      </w:tblPr>
      <w:tblGrid>
        <w:gridCol w:w="728"/>
        <w:gridCol w:w="639"/>
        <w:gridCol w:w="642"/>
        <w:gridCol w:w="261"/>
        <w:gridCol w:w="1043"/>
        <w:gridCol w:w="135"/>
        <w:gridCol w:w="109"/>
        <w:gridCol w:w="109"/>
        <w:gridCol w:w="109"/>
        <w:gridCol w:w="309"/>
        <w:gridCol w:w="1235"/>
        <w:gridCol w:w="226"/>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long-lived assets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472,690</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463,736</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reported are attributed to geographic areas based on locations of the Group’s fulfillment centers, except for platform commission revenues which are attributed to Hong Kong, where the server of the GigaCloud Marketplace is located. Revenues by geography for the three months ended March 31, 2026 and 2025 are as follows: </w:t>
      </w:r>
    </w:p>
    <w:tbl>
      <w:tblPr>
        <w:tblW w:w="5741" w:type="dxa"/>
        <w:jc w:val="left"/>
        <w:tblInd w:w="0" w:type="dxa"/>
        <w:tblLayout w:type="fixed"/>
        <w:tblCellMar>
          <w:top w:w="28" w:type="dxa"/>
          <w:left w:w="28" w:type="dxa"/>
          <w:bottom w:w="28" w:type="dxa"/>
          <w:right w:w="28" w:type="dxa"/>
        </w:tblCellMar>
      </w:tblPr>
      <w:tblGrid>
        <w:gridCol w:w="1052"/>
        <w:gridCol w:w="926"/>
        <w:gridCol w:w="931"/>
        <w:gridCol w:w="222"/>
        <w:gridCol w:w="885"/>
        <w:gridCol w:w="114"/>
        <w:gridCol w:w="114"/>
        <w:gridCol w:w="114"/>
        <w:gridCol w:w="114"/>
        <w:gridCol w:w="222"/>
        <w:gridCol w:w="885"/>
        <w:gridCol w:w="162"/>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by geographic regions:</w:t>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Platform commission</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5,505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4,335</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Ocean transportation service</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7,849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11,358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Drayage service</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3,150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2,772</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Warehousing service</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16,067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14,078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Packaging service</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9,526</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7,250</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Last-mile delivery service</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68,993</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49,244</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5,450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5,031</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revenues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116,540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94,068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revenues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242,948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177,838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20" w:after="120"/>
        <w:jc w:val="left"/>
        <w:rPr/>
      </w:pPr>
      <w:r>
        <w:rPr>
          <w:rFonts w:ascii="Times New Roman;serif" w:hAnsi="Times New Roman;serif"/>
          <w:b w:val="false"/>
          <w:color w:val="000000"/>
          <w:sz w:val="16"/>
        </w:rPr>
        <w:t>(1)</w:t>
      </w:r>
      <w:r>
        <w:rPr>
          <w:rFonts w:ascii="Times New Roman;serif" w:hAnsi="Times New Roman;serif"/>
          <w:b w:val="false"/>
          <w:color w:val="000000"/>
          <w:sz w:val="16"/>
        </w:rPr>
        <w:t>Other regions mainly include the U.K., Japan, Canada and Hong Kong, with variations across different product/ service lines. No other individual region’s revenues exceeded 10% of the Company’s total revenues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120"/>
        <w:ind w:left="0" w:right="0" w:firstLine="720"/>
        <w:jc w:val="left"/>
        <w:rPr/>
      </w:pPr>
      <w:r>
        <w:rPr>
          <w:rFonts w:ascii="Times New Roman;serif" w:hAnsi="Times New Roman;serif"/>
          <w:b w:val="false"/>
          <w:color w:val="000000"/>
          <w:sz w:val="20"/>
          <w:shd w:fill="FFFFFF" w:val="clear"/>
        </w:rPr>
        <w:t>In July 2025, the FASB issued ASU No. 2025-05, Financial Instruments—Credit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annual reporting years. If the practical expedient is elected, the amendments should be applied prospectively. Early adoption is per</w:t>
      </w:r>
      <w:r>
        <w:rPr>
          <w:rFonts w:ascii="Times New Roman;serif" w:hAnsi="Times New Roman;serif"/>
          <w:b w:val="false"/>
          <w:color w:val="000000"/>
          <w:sz w:val="20"/>
        </w:rPr>
        <w:t xml:space="preserve">mitted. The Group adopted this ASU on January 1, 2026 prospectively and the adoption did not have a material impact on its consolidated financial statements and related disclosures. </w:t>
      </w:r>
    </w:p>
    <w:p>
      <w:pPr>
        <w:pStyle w:val="TextBody"/>
        <w:bidi w:val="0"/>
        <w:spacing w:lineRule="auto" w:line="288" w:before="12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Income Statement—Reporting Comprehensive Income-Expense Disaggregation Disclosures (Subtopic 220-40): Disaggregation of Income Statement Expenses. The ASU amends existing income statement disclosure guidance, primarily requiring disaggregated disclosure of specific expense categories, such as purchases of inventory, employee compensation, depreciation and intangible asset amortization. For public business entities, the ASU is effective for annual periods beginning after December 15, 2026, and interim reporting periods beginning after December 15, 2027. Early adoption is permitted and the ASU can be applied on either a prospective or retroactive basis. The Group is currently evaluating the impact that the adoption of this standard will have on its consolidated financial statements and related disclosures.</w:t>
      </w:r>
    </w:p>
    <w:p>
      <w:pPr>
        <w:pStyle w:val="TextBody"/>
        <w:bidi w:val="0"/>
        <w:spacing w:lineRule="auto" w:line="288" w:before="12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ASU No. 2025-06, Intangibles—Goodwill and Other—Internal-Use Software (Subtopic 350-40): Targeted Improvements to the Accounting for Internal-Use Software.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annual reporting years. Early adoption is permitted as of the beginning of an annual reporting period. The amendments in the update permit an entity to apply the new guidance using any of the three transition approaches: a prospective transition approach, a modified transition approach and a retrospective transition approach. The Group is currently evaluating the impact that the adoption of this standard will have on its consolidated financial statements and related disclosures.</w:t>
      </w:r>
    </w:p>
    <w:p>
      <w:pPr>
        <w:pStyle w:val="TextBody"/>
        <w:bidi w:val="0"/>
        <w:spacing w:lineRule="auto" w:line="288" w:before="12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2025, the FASB issued ASU No. 2025-11, Interim Reporting (Topic 270): Narrow-Scope Improvements. The amendments clarify the guidance in Topic 270 to improve the consistency of interim financial reporting. The update provides a comprehensive list of required interim disclosures and introduces a disclosure principle requiring entities to disclose events since the end of the last annual reporting period that have a material impact on the entity. This update is effective for annual periods beginning after December 15, 2027, including interim periods within those annual reporting years, with early adoption permitted. The Group is currently evaluating the impact that the adoption of this standard will have on its consolidated financial statements and related disclosures.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Reclassification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our prior period’s financial statements to conform to our current period presentation. These reclassifications had no effect on our previously reported results of operations or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2.BUSINESS COMBINATION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New Classic Home Furnishings, Inc. (“New Classic”)</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the Group completed its acquisition of New Classic, a U.S. based wholesaler primarily serving the domestic home furnishings market (the “Acquisition”). The Group acquired 100% of the outstanding equity of New Classic for total consideration of $18.7 million after net working capital adjustments, inclusive of a post-close earnout to be paid in 2027. The acquisition was completed on a debt free basis and was funded using cash on hand from operations. The acquisition of New Classic had no impact on the Group’s weighted-average shares as no shares were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 of the assets acquired and liabilities assumed as of the acquisition date:</w:t>
      </w:r>
    </w:p>
    <w:tbl>
      <w:tblPr>
        <w:tblW w:w="5010" w:type="dxa"/>
        <w:jc w:val="left"/>
        <w:tblInd w:w="0" w:type="dxa"/>
        <w:tblLayout w:type="fixed"/>
        <w:tblCellMar>
          <w:top w:w="28" w:type="dxa"/>
          <w:left w:w="28" w:type="dxa"/>
          <w:bottom w:w="28" w:type="dxa"/>
          <w:right w:w="28" w:type="dxa"/>
        </w:tblCellMar>
      </w:tblPr>
      <w:tblGrid>
        <w:gridCol w:w="1385"/>
        <w:gridCol w:w="1217"/>
        <w:gridCol w:w="1223"/>
        <w:gridCol w:w="215"/>
        <w:gridCol w:w="813"/>
        <w:gridCol w:w="157"/>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consideration paid/payable for the New Classic acquisition as of the acquisition date:</w:t>
      </w:r>
    </w:p>
    <w:tbl>
      <w:tblPr>
        <w:tblW w:w="3390" w:type="dxa"/>
        <w:jc w:val="left"/>
        <w:tblInd w:w="0" w:type="dxa"/>
        <w:tblLayout w:type="fixed"/>
        <w:tblCellMar>
          <w:top w:w="28" w:type="dxa"/>
          <w:left w:w="28" w:type="dxa"/>
          <w:bottom w:w="28" w:type="dxa"/>
          <w:right w:w="28" w:type="dxa"/>
        </w:tblCellMar>
      </w:tblPr>
      <w:tblGrid>
        <w:gridCol w:w="882"/>
        <w:gridCol w:w="685"/>
        <w:gridCol w:w="638"/>
        <w:gridCol w:w="230"/>
        <w:gridCol w:w="787"/>
        <w:gridCol w:w="168"/>
      </w:tblGrid>
      <w:tr>
        <w:trPr/>
        <w:tc>
          <w:tcPr>
            <w:tcW w:w="8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payable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pPr>
      <w:r>
        <w:rPr>
          <w:rFonts w:ascii="Times New Roman;serif" w:hAnsi="Times New Roman;serif"/>
          <w:b w:val="false"/>
          <w:color w:val="000000"/>
          <w:sz w:val="20"/>
        </w:rPr>
        <w:t>The New Classic acquisition agreement includes an earnout provision requiring a $3.6 million payment to the seller upon achiev</w:t>
      </w:r>
      <w:r>
        <w:rPr>
          <w:rFonts w:ascii="Times New Roman;serif" w:hAnsi="Times New Roman;serif"/>
          <w:b w:val="false"/>
          <w:color w:val="000000"/>
          <w:sz w:val="20"/>
          <w:shd w:fill="FFFFFF" w:val="clear"/>
        </w:rPr>
        <w:t xml:space="preserve">ing </w:t>
      </w:r>
      <w:r>
        <w:rPr>
          <w:rFonts w:ascii="Times New Roman;serif" w:hAnsi="Times New Roman;serif"/>
          <w:b w:val="false"/>
          <w:color w:val="000000"/>
          <w:sz w:val="20"/>
        </w:rPr>
        <w:t>$60.0</w:t>
      </w:r>
      <w:r>
        <w:rPr>
          <w:color w:val="000000"/>
          <w:shd w:fill="FFFFFF" w:val="clear"/>
        </w:rPr>
        <w:t xml:space="preserve"> </w:t>
      </w:r>
      <w:r>
        <w:rPr>
          <w:rFonts w:ascii="Times New Roman;serif" w:hAnsi="Times New Roman;serif"/>
          <w:b w:val="false"/>
          <w:color w:val="000000"/>
          <w:sz w:val="20"/>
        </w:rPr>
        <w:t>million in net revenue within the twelve-month period beginning after the closing of the Acquisition. The earnout will be paid on a pro-rated basis if net revenue falls between $50.7 million and $60.0 million, and will not be paid if net revenue falls below $50.7 million. Any such payments will be made to the Seller no later than April 15, 2027. The Group determined the fair value of the contingent payment to be $3.3 million, using a probability weighted scenario approach based on the aforementioned earnout provisions and discounting the potential payments to their present value.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intangible assets acquired of $270 thousand consist of customer relationships (amortized over 10 years), which was measured at fair value following the income approach.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 of accounts receivable, prepayments and other current assets, and accounts payable approximate their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of $314 thousand represents the excess purchase price over the estimated fair value assigned to tangible and identifiable intangible assets acquired and liabilities assumed. Goodwill is attributable to expected synergies from future growth.</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Acquisition-related costs for New Classic were approximately $265 thousand. Acquisition-related costs were expensed as incurred and are included in general and administrative expenses within the unaudited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Group utilizes valuation techniques that maximize the use of observable inputs and minimize the use of unobservable inputs to the extent possible. The Group determines fair value based on assumptions that market participants would use in pricing an asset or liability in the principal or most advantageous market. The carrying amounts for the Group’s accounts receivable, accounts payable and accrued liabilities approximate fair value due to their short-term maturities.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1 Inputs: Unadjusted quoted prices in active markets for identical assets or liabilities.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2 Inputs: Other than quoted prices included in Level 1 inputs that are observable for the asset or liability, either directly or indirectly, for substantially the full-term of the asset or liability.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non-financial assets and liabilities are measured at fair value on a nonrecurring basis, including property and equipment, intangible assets and goodwill. These assets are subject to fair value adjustments in certain circumstances, such as when there is evidence of an impairment or when an asset or disposal group is classified as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valuation of the Group’s financial assets and liabilities as of March 31, 2026 measured at fair value on a recurring basis. </w:t>
      </w:r>
    </w:p>
    <w:tbl>
      <w:tblPr>
        <w:tblW w:w="10205" w:type="dxa"/>
        <w:jc w:val="left"/>
        <w:tblInd w:w="0" w:type="dxa"/>
        <w:tblLayout w:type="fixed"/>
        <w:tblCellMar>
          <w:top w:w="28" w:type="dxa"/>
          <w:left w:w="28" w:type="dxa"/>
          <w:bottom w:w="28" w:type="dxa"/>
          <w:right w:w="28" w:type="dxa"/>
        </w:tblCellMar>
      </w:tblPr>
      <w:tblGrid>
        <w:gridCol w:w="787"/>
        <w:gridCol w:w="647"/>
        <w:gridCol w:w="654"/>
        <w:gridCol w:w="109"/>
        <w:gridCol w:w="109"/>
        <w:gridCol w:w="109"/>
        <w:gridCol w:w="680"/>
        <w:gridCol w:w="601"/>
        <w:gridCol w:w="603"/>
        <w:gridCol w:w="109"/>
        <w:gridCol w:w="109"/>
        <w:gridCol w:w="109"/>
        <w:gridCol w:w="320"/>
        <w:gridCol w:w="1254"/>
        <w:gridCol w:w="165"/>
        <w:gridCol w:w="109"/>
        <w:gridCol w:w="109"/>
        <w:gridCol w:w="109"/>
        <w:gridCol w:w="297"/>
        <w:gridCol w:w="1165"/>
        <w:gridCol w:w="153"/>
        <w:gridCol w:w="109"/>
        <w:gridCol w:w="109"/>
        <w:gridCol w:w="109"/>
        <w:gridCol w:w="336"/>
        <w:gridCol w:w="982"/>
        <w:gridCol w:w="253"/>
      </w:tblGrid>
      <w:tr>
        <w:trPr/>
        <w:tc>
          <w:tcPr>
            <w:tcW w:w="78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Balance Sheet Caption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Fair value (Level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(Level 3)</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Money market instruments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Treasury enhanced notes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Contingent consideration</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(1)    Balance sheet caption is determined by the duration to maturity at date of purchase and whether the assets are restricted for particular use.</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(2)    Fair value is determined using broker quotes reflecting current market conditions.</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(3)    Fair value is determined by applying a probability weighted scenario approach and discounting potential payments to their present value.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Investments and Cash Equivalents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and cash equivalents are measured at fair value on a recurring basis. As of March 31, 2026, investments in the unaudited condensed consolidated balance sheets include time deposits and U.S. treasury securities, with maturity of three months to 12 months.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fixed income securities are classified as available-for-sale with unrealized gains and losses included in “accumulated other comprehensive income or loss”. The related unrealized gains (losses) recorded in accumulated other comprehensive income (loss) were $(5) thousand and $1 thousand as of March 31, 2026 and 2025. No realized gains or losses were recorded for the three months ended March 31, 2026 and 2025, respectively.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Acquisition-Related Contingent Consideration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is related to the Group’s acquisition of New Classic (see Note 2). The Group determined the fair value of the contingent payment using a probability weighted scenario approach based on earnout provisions and discounting the potential payments to their present value. The probabilities of the various scenarios regarding whether the target revenue can be achieved are based on management's estimates, which cannot be observed in the market and thus represents a Level 3 measurement. Each period, the Group evaluates the fair value of acquisition-related contingent consideration liabilities and records any changes in the fair value of such liabilities in others, net in the Group’s consolidated statements of comprehensive income. Based on current forecasts, the Group determined achievement of the earnout target is probable. Changes in either the revenue estimates or the discount rate could result in a material change to the amount of contingent consideration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Group’s contingent consideration liabilities related to acquisitions for the three months ended March 31, 2026 is as follows:</w:t>
      </w:r>
    </w:p>
    <w:tbl>
      <w:tblPr>
        <w:tblW w:w="5024" w:type="dxa"/>
        <w:jc w:val="left"/>
        <w:tblInd w:w="0" w:type="dxa"/>
        <w:tblLayout w:type="fixed"/>
        <w:tblCellMar>
          <w:top w:w="28" w:type="dxa"/>
          <w:left w:w="28" w:type="dxa"/>
          <w:bottom w:w="28" w:type="dxa"/>
          <w:right w:w="28" w:type="dxa"/>
        </w:tblCellMar>
      </w:tblPr>
      <w:tblGrid>
        <w:gridCol w:w="1282"/>
        <w:gridCol w:w="1128"/>
        <w:gridCol w:w="1130"/>
        <w:gridCol w:w="314"/>
        <w:gridCol w:w="941"/>
        <w:gridCol w:w="229"/>
      </w:tblGrid>
      <w:tr>
        <w:trPr/>
        <w:tc>
          <w:tcPr>
            <w:tcW w:w="128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Level 3 Instruments Rollforward</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the beginning of the period</w:t>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the end of the period</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3,346</w:t>
            </w: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4.ACCOUNTS RECEIVABLE, NET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consisted of the following: </w:t>
      </w:r>
    </w:p>
    <w:tbl>
      <w:tblPr>
        <w:tblW w:w="6250" w:type="dxa"/>
        <w:jc w:val="left"/>
        <w:tblInd w:w="0" w:type="dxa"/>
        <w:tblLayout w:type="fixed"/>
        <w:tblCellMar>
          <w:top w:w="28" w:type="dxa"/>
          <w:left w:w="28" w:type="dxa"/>
          <w:bottom w:w="28" w:type="dxa"/>
          <w:right w:w="28" w:type="dxa"/>
        </w:tblCellMar>
      </w:tblPr>
      <w:tblGrid>
        <w:gridCol w:w="984"/>
        <w:gridCol w:w="864"/>
        <w:gridCol w:w="867"/>
        <w:gridCol w:w="287"/>
        <w:gridCol w:w="1004"/>
        <w:gridCol w:w="148"/>
        <w:gridCol w:w="109"/>
        <w:gridCol w:w="109"/>
        <w:gridCol w:w="109"/>
        <w:gridCol w:w="339"/>
        <w:gridCol w:w="1183"/>
        <w:gridCol w:w="247"/>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66,567 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24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83,513</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65,973</w:t>
            </w:r>
            <w:r>
              <w:rPr>
                <w:color w:val="000000"/>
              </w:rPr>
              <w:t>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color w:val="000000"/>
        </w:rPr>
      </w:pPr>
      <w:r>
        <w:rPr>
          <w:color w:val="000000"/>
        </w:rPr>
        <w: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movement of the allowance for credit losses is as follows: </w:t>
      </w:r>
    </w:p>
    <w:tbl>
      <w:tblPr>
        <w:tblW w:w="6370" w:type="dxa"/>
        <w:jc w:val="left"/>
        <w:tblInd w:w="0" w:type="dxa"/>
        <w:tblLayout w:type="fixed"/>
        <w:tblCellMar>
          <w:top w:w="28" w:type="dxa"/>
          <w:left w:w="28" w:type="dxa"/>
          <w:bottom w:w="28" w:type="dxa"/>
          <w:right w:w="28" w:type="dxa"/>
        </w:tblCellMar>
      </w:tblPr>
      <w:tblGrid>
        <w:gridCol w:w="1282"/>
        <w:gridCol w:w="1127"/>
        <w:gridCol w:w="1131"/>
        <w:gridCol w:w="266"/>
        <w:gridCol w:w="683"/>
        <w:gridCol w:w="137"/>
        <w:gridCol w:w="137"/>
        <w:gridCol w:w="137"/>
        <w:gridCol w:w="137"/>
        <w:gridCol w:w="266"/>
        <w:gridCol w:w="873"/>
        <w:gridCol w:w="194"/>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the beginning of the period</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the end of the period</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(765)</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(1,334)</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5.INVENTORIES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consisted of the following: </w:t>
      </w:r>
    </w:p>
    <w:tbl>
      <w:tblPr>
        <w:tblW w:w="5786" w:type="dxa"/>
        <w:jc w:val="left"/>
        <w:tblInd w:w="0" w:type="dxa"/>
        <w:tblLayout w:type="fixed"/>
        <w:tblCellMar>
          <w:top w:w="28" w:type="dxa"/>
          <w:left w:w="28" w:type="dxa"/>
          <w:bottom w:w="28" w:type="dxa"/>
          <w:right w:w="28" w:type="dxa"/>
        </w:tblCellMar>
      </w:tblPr>
      <w:tblGrid>
        <w:gridCol w:w="814"/>
        <w:gridCol w:w="715"/>
        <w:gridCol w:w="721"/>
        <w:gridCol w:w="261"/>
        <w:gridCol w:w="1043"/>
        <w:gridCol w:w="135"/>
        <w:gridCol w:w="109"/>
        <w:gridCol w:w="109"/>
        <w:gridCol w:w="109"/>
        <w:gridCol w:w="309"/>
        <w:gridCol w:w="1235"/>
        <w:gridCol w:w="226"/>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available for sale</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105,853 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 in transit</w:t>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87,897 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82,445 </w:t>
            </w:r>
          </w:p>
        </w:tc>
        <w:tc>
          <w:tcPr>
            <w:tcW w:w="22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240,315</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188,298</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6.LEASES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leases its office space, fulfillment centers and other facilities under non-cancellable operating leases with various expiration dates. The Group also has equipment that is leased under non-cancellable finance leases. The Group considers various factors such as market conditions and the terms of any renewal options that may exist to determine whether it will renew or replace the lease. In the event the Group is reasonably certain to exercise the option to extend a lease, the Group will include the extended terms in the operating lease right-of-use asset and operating lease liability. Certain forklifts used in the fulfillment centers are leased under finance leases, which have a fixed lease term of one to five years from the lease commencement dates. Leases with an initial term of 12 months or less are not recorded on the balance sheet; the Group recognizes lease expense for these leases on a straight-line basis over the lease term.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gross amounts of assets and liabilities related to both operating and finance leases are as follows: </w:t>
      </w:r>
    </w:p>
    <w:tbl>
      <w:tblPr>
        <w:tblW w:w="9280" w:type="dxa"/>
        <w:jc w:val="left"/>
        <w:tblInd w:w="0" w:type="dxa"/>
        <w:tblLayout w:type="fixed"/>
        <w:tblCellMar>
          <w:top w:w="28" w:type="dxa"/>
          <w:left w:w="28" w:type="dxa"/>
          <w:bottom w:w="28" w:type="dxa"/>
          <w:right w:w="28" w:type="dxa"/>
        </w:tblCellMar>
      </w:tblPr>
      <w:tblGrid>
        <w:gridCol w:w="1040"/>
        <w:gridCol w:w="916"/>
        <w:gridCol w:w="924"/>
        <w:gridCol w:w="953"/>
        <w:gridCol w:w="953"/>
        <w:gridCol w:w="958"/>
        <w:gridCol w:w="261"/>
        <w:gridCol w:w="1043"/>
        <w:gridCol w:w="135"/>
        <w:gridCol w:w="109"/>
        <w:gridCol w:w="109"/>
        <w:gridCol w:w="109"/>
        <w:gridCol w:w="309"/>
        <w:gridCol w:w="1235"/>
        <w:gridCol w:w="226"/>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3536"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435,884 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431,455 </w:t>
            </w:r>
          </w:p>
        </w:tc>
        <w:tc>
          <w:tcPr>
            <w:tcW w:w="22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right-of-use assets</w:t>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437,521</w:t>
            </w:r>
            <w:r>
              <w:rPr>
                <w:color w:val="000000"/>
              </w:rPr>
              <w:t>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432,732</w:t>
            </w:r>
            <w:r>
              <w:rPr>
                <w:color w:val="000000"/>
              </w:rPr>
              <w:t>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78" w:type="dxa"/>
        <w:jc w:val="left"/>
        <w:tblInd w:w="0" w:type="dxa"/>
        <w:tblLayout w:type="fixed"/>
        <w:tblCellMar>
          <w:top w:w="28" w:type="dxa"/>
          <w:left w:w="28" w:type="dxa"/>
          <w:bottom w:w="28" w:type="dxa"/>
          <w:right w:w="28" w:type="dxa"/>
        </w:tblCellMar>
      </w:tblPr>
      <w:tblGrid>
        <w:gridCol w:w="798"/>
        <w:gridCol w:w="701"/>
        <w:gridCol w:w="705"/>
        <w:gridCol w:w="1268"/>
        <w:gridCol w:w="1268"/>
        <w:gridCol w:w="1274"/>
        <w:gridCol w:w="109"/>
        <w:gridCol w:w="109"/>
        <w:gridCol w:w="109"/>
        <w:gridCol w:w="249"/>
        <w:gridCol w:w="1063"/>
        <w:gridCol w:w="128"/>
        <w:gridCol w:w="109"/>
        <w:gridCol w:w="109"/>
        <w:gridCol w:w="109"/>
        <w:gridCol w:w="295"/>
        <w:gridCol w:w="1260"/>
        <w:gridCol w:w="21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(100,326)</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21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(367,345)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(368,321)</w:t>
            </w:r>
          </w:p>
        </w:tc>
        <w:tc>
          <w:tcPr>
            <w:tcW w:w="21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(475,444)</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(469,681)</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cost are as follows: </w:t>
      </w:r>
    </w:p>
    <w:tbl>
      <w:tblPr>
        <w:tblW w:w="5394" w:type="dxa"/>
        <w:jc w:val="left"/>
        <w:tblInd w:w="0" w:type="dxa"/>
        <w:tblLayout w:type="fixed"/>
        <w:tblCellMar>
          <w:top w:w="28" w:type="dxa"/>
          <w:left w:w="28" w:type="dxa"/>
          <w:bottom w:w="28" w:type="dxa"/>
          <w:right w:w="28" w:type="dxa"/>
        </w:tblCellMar>
      </w:tblPr>
      <w:tblGrid>
        <w:gridCol w:w="1053"/>
        <w:gridCol w:w="925"/>
        <w:gridCol w:w="932"/>
        <w:gridCol w:w="211"/>
        <w:gridCol w:w="736"/>
        <w:gridCol w:w="109"/>
        <w:gridCol w:w="109"/>
        <w:gridCol w:w="109"/>
        <w:gridCol w:w="109"/>
        <w:gridCol w:w="211"/>
        <w:gridCol w:w="73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31,724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27,602</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Lease terms and discount rates are as follows: </w:t>
      </w:r>
    </w:p>
    <w:tbl>
      <w:tblPr>
        <w:tblW w:w="7736" w:type="dxa"/>
        <w:jc w:val="left"/>
        <w:tblInd w:w="0" w:type="dxa"/>
        <w:tblLayout w:type="fixed"/>
        <w:tblCellMar>
          <w:top w:w="28" w:type="dxa"/>
          <w:left w:w="28" w:type="dxa"/>
          <w:bottom w:w="28" w:type="dxa"/>
          <w:right w:w="28" w:type="dxa"/>
        </w:tblCellMar>
      </w:tblPr>
      <w:tblGrid>
        <w:gridCol w:w="1520"/>
        <w:gridCol w:w="1336"/>
        <w:gridCol w:w="1344"/>
        <w:gridCol w:w="319"/>
        <w:gridCol w:w="319"/>
        <w:gridCol w:w="801"/>
        <w:gridCol w:w="109"/>
        <w:gridCol w:w="109"/>
        <w:gridCol w:w="109"/>
        <w:gridCol w:w="360"/>
        <w:gridCol w:w="360"/>
        <w:gridCol w:w="1050"/>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(years):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4.68</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8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as of March 31, 2026, including rental payments for lease renewal options the Group is reasonably certain to exercise, were as follows:</w:t>
      </w:r>
    </w:p>
    <w:tbl>
      <w:tblPr>
        <w:tblW w:w="6210" w:type="dxa"/>
        <w:jc w:val="left"/>
        <w:tblInd w:w="0" w:type="dxa"/>
        <w:tblLayout w:type="fixed"/>
        <w:tblCellMar>
          <w:top w:w="28" w:type="dxa"/>
          <w:left w:w="28" w:type="dxa"/>
          <w:bottom w:w="28" w:type="dxa"/>
          <w:right w:w="28" w:type="dxa"/>
        </w:tblCellMar>
      </w:tblPr>
      <w:tblGrid>
        <w:gridCol w:w="1005"/>
        <w:gridCol w:w="883"/>
        <w:gridCol w:w="887"/>
        <w:gridCol w:w="286"/>
        <w:gridCol w:w="1141"/>
        <w:gridCol w:w="147"/>
        <w:gridCol w:w="109"/>
        <w:gridCol w:w="109"/>
        <w:gridCol w:w="109"/>
        <w:gridCol w:w="109"/>
        <w:gridCol w:w="302"/>
        <w:gridCol w:w="903"/>
        <w:gridCol w:w="220"/>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Operating leases</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Finance leases</w:t>
            </w:r>
            <w:r>
              <w:rPr>
                <w:color w:val="000000"/>
              </w:rPr>
              <w:t xml:space="preserve"> </w:t>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425" w:type="dxa"/>
            <w:gridSpan w:val="3"/>
            <w:tcBorders/>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of Lease Liabilities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522,022 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474,020</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1,424</w:t>
            </w: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7.ORDINARY SHARES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the Group repurchased a total of 304,321 Class A ordinary shares at an average price of $40.27, totaling approximately $12.3 million. Direct and incremental costs incurred in relation to the repurchases were $12 thousand. Under existing repurchase plans authorized by our Board of Directors, $77.4 million remain available for Class A ordinary share repurchases as of March 31, 2026.</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shares of treasury shares repurchased and reissued:</w:t>
      </w:r>
    </w:p>
    <w:tbl>
      <w:tblPr>
        <w:tblW w:w="7642" w:type="dxa"/>
        <w:jc w:val="left"/>
        <w:tblInd w:w="0" w:type="dxa"/>
        <w:tblLayout w:type="fixed"/>
        <w:tblCellMar>
          <w:top w:w="28" w:type="dxa"/>
          <w:left w:w="28" w:type="dxa"/>
          <w:bottom w:w="28" w:type="dxa"/>
          <w:right w:w="28" w:type="dxa"/>
        </w:tblCellMar>
      </w:tblPr>
      <w:tblGrid>
        <w:gridCol w:w="1385"/>
        <w:gridCol w:w="1218"/>
        <w:gridCol w:w="1222"/>
        <w:gridCol w:w="109"/>
        <w:gridCol w:w="109"/>
        <w:gridCol w:w="109"/>
        <w:gridCol w:w="598"/>
        <w:gridCol w:w="302"/>
        <w:gridCol w:w="296"/>
        <w:gridCol w:w="296"/>
        <w:gridCol w:w="296"/>
        <w:gridCol w:w="296"/>
        <w:gridCol w:w="692"/>
        <w:gridCol w:w="296"/>
        <w:gridCol w:w="418"/>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237,269 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609,390 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304,321 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1,400,986 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(237,269)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Treasury shares at the ending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304,321</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2,008,984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8.SHARE-BASED COMPENSATION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Restricted share units (the “RSU”)</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share-based compensation activities for the three months ended March 31, 2026 is presented below: </w:t>
      </w:r>
    </w:p>
    <w:tbl>
      <w:tblPr>
        <w:tblW w:w="6310" w:type="dxa"/>
        <w:jc w:val="left"/>
        <w:tblInd w:w="0" w:type="dxa"/>
        <w:tblLayout w:type="fixed"/>
        <w:tblCellMar>
          <w:top w:w="28" w:type="dxa"/>
          <w:left w:w="28" w:type="dxa"/>
          <w:bottom w:w="28" w:type="dxa"/>
          <w:right w:w="28" w:type="dxa"/>
        </w:tblCellMar>
      </w:tblPr>
      <w:tblGrid>
        <w:gridCol w:w="1076"/>
        <w:gridCol w:w="944"/>
        <w:gridCol w:w="950"/>
        <w:gridCol w:w="544"/>
        <w:gridCol w:w="544"/>
        <w:gridCol w:w="546"/>
        <w:gridCol w:w="109"/>
        <w:gridCol w:w="109"/>
        <w:gridCol w:w="109"/>
        <w:gridCol w:w="292"/>
        <w:gridCol w:w="874"/>
        <w:gridCol w:w="213"/>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 value</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2026</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91,043 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16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90,706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11.58</w:t>
            </w: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expenses recognized in connection with RSUs are allocated to the following expense items. </w:t>
      </w:r>
    </w:p>
    <w:tbl>
      <w:tblPr>
        <w:tblW w:w="5921" w:type="dxa"/>
        <w:jc w:val="left"/>
        <w:tblInd w:w="0" w:type="dxa"/>
        <w:tblLayout w:type="fixed"/>
        <w:tblCellMar>
          <w:top w:w="28" w:type="dxa"/>
          <w:left w:w="28" w:type="dxa"/>
          <w:bottom w:w="28" w:type="dxa"/>
          <w:right w:w="28" w:type="dxa"/>
        </w:tblCellMar>
      </w:tblPr>
      <w:tblGrid>
        <w:gridCol w:w="1117"/>
        <w:gridCol w:w="984"/>
        <w:gridCol w:w="989"/>
        <w:gridCol w:w="281"/>
        <w:gridCol w:w="642"/>
        <w:gridCol w:w="145"/>
        <w:gridCol w:w="145"/>
        <w:gridCol w:w="145"/>
        <w:gridCol w:w="145"/>
        <w:gridCol w:w="281"/>
        <w:gridCol w:w="842"/>
        <w:gridCol w:w="205"/>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share compensation expenses</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1,142</w:t>
            </w: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9.INCOME TAX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provision for income taxes for the three months ended March 31, 2026 and 2025 was $7.8 million, and $5.4 million respectively, representing effective income tax rates of 17.0% and 16.5%, respectively. The difference between the U.S. federal income tax rate of 21.0% and the Group’s overall income tax rate was primarily due to a lower effective tax rate on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10.NET INCOME PER ORDINARY SHARE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basic and diluted net income per ordinary share computation and provides a reconciliation of the numerator and denominator for the periods presented: </w:t>
      </w:r>
    </w:p>
    <w:tbl>
      <w:tblPr>
        <w:tblW w:w="8753" w:type="dxa"/>
        <w:jc w:val="left"/>
        <w:tblInd w:w="0" w:type="dxa"/>
        <w:tblLayout w:type="fixed"/>
        <w:tblCellMar>
          <w:top w:w="28" w:type="dxa"/>
          <w:left w:w="28" w:type="dxa"/>
          <w:bottom w:w="28" w:type="dxa"/>
          <w:right w:w="28" w:type="dxa"/>
        </w:tblCellMar>
      </w:tblPr>
      <w:tblGrid>
        <w:gridCol w:w="2143"/>
        <w:gridCol w:w="1884"/>
        <w:gridCol w:w="1898"/>
        <w:gridCol w:w="244"/>
        <w:gridCol w:w="837"/>
        <w:gridCol w:w="123"/>
        <w:gridCol w:w="123"/>
        <w:gridCol w:w="123"/>
        <w:gridCol w:w="123"/>
        <w:gridCol w:w="244"/>
        <w:gridCol w:w="837"/>
        <w:gridCol w:w="174"/>
      </w:tblGrid>
      <w:tr>
        <w:trPr/>
        <w:tc>
          <w:tcPr>
            <w:tcW w:w="214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 except for share data)</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27,146 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36,683,938 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40,020,265 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36,771,570 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40,138,522 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per ordinary share attributable to ordinary shareholders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Basic</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potential dilutive securities that have been included in the calculation of diluted net income per ordinary share are presented as follow:</w:t>
      </w:r>
    </w:p>
    <w:tbl>
      <w:tblPr>
        <w:tblW w:w="3222" w:type="dxa"/>
        <w:jc w:val="left"/>
        <w:tblInd w:w="0" w:type="dxa"/>
        <w:tblLayout w:type="fixed"/>
        <w:tblCellMar>
          <w:top w:w="28" w:type="dxa"/>
          <w:left w:w="28" w:type="dxa"/>
          <w:bottom w:w="28" w:type="dxa"/>
          <w:right w:w="28" w:type="dxa"/>
        </w:tblCellMar>
      </w:tblPr>
      <w:tblGrid>
        <w:gridCol w:w="207"/>
        <w:gridCol w:w="181"/>
        <w:gridCol w:w="183"/>
        <w:gridCol w:w="360"/>
        <w:gridCol w:w="361"/>
        <w:gridCol w:w="204"/>
        <w:gridCol w:w="204"/>
        <w:gridCol w:w="204"/>
        <w:gridCol w:w="204"/>
        <w:gridCol w:w="413"/>
        <w:gridCol w:w="413"/>
        <w:gridCol w:w="288"/>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87,632 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118,257 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11.REVENUES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Group’s revenues are disaggregated by major products/service lines and timing of revenue recognition. Detailed information is specified as follows:</w:t>
      </w:r>
    </w:p>
    <w:tbl>
      <w:tblPr>
        <w:tblW w:w="8923" w:type="dxa"/>
        <w:jc w:val="left"/>
        <w:tblInd w:w="0" w:type="dxa"/>
        <w:tblLayout w:type="fixed"/>
        <w:tblCellMar>
          <w:top w:w="28" w:type="dxa"/>
          <w:left w:w="28" w:type="dxa"/>
          <w:bottom w:w="28" w:type="dxa"/>
          <w:right w:w="28" w:type="dxa"/>
        </w:tblCellMar>
      </w:tblPr>
      <w:tblGrid>
        <w:gridCol w:w="2207"/>
        <w:gridCol w:w="1933"/>
        <w:gridCol w:w="1949"/>
        <w:gridCol w:w="222"/>
        <w:gridCol w:w="886"/>
        <w:gridCol w:w="114"/>
        <w:gridCol w:w="114"/>
        <w:gridCol w:w="114"/>
        <w:gridCol w:w="114"/>
        <w:gridCol w:w="222"/>
        <w:gridCol w:w="886"/>
        <w:gridCol w:w="162"/>
      </w:tblGrid>
      <w:tr>
        <w:trPr/>
        <w:tc>
          <w:tcPr>
            <w:tcW w:w="220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Major products/services lines</w:t>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revenues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commission</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Ocean transportation service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Drayage service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Warehousing service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service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Last-mile delivery service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service revenues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116,540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94,068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revenues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to B</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to C</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52,365 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Off-platform</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GigaCloud 1P</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81,385 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product revenues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242,948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177,838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Timing of revenue recognition</w:t>
            </w:r>
          </w:p>
        </w:tc>
        <w:tc>
          <w:tcPr>
            <w:tcW w:w="12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goods or services transferred to customers over time</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78,573 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goods or services transferred to customers at a point in time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193,333 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Contract Liabilities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the contract liabilities balances for the three months ended March 31, 2026 and 2025 are as follows: </w:t>
      </w:r>
    </w:p>
    <w:tbl>
      <w:tblPr>
        <w:tblW w:w="8170" w:type="dxa"/>
        <w:jc w:val="left"/>
        <w:tblInd w:w="0" w:type="dxa"/>
        <w:tblLayout w:type="fixed"/>
        <w:tblCellMar>
          <w:top w:w="28" w:type="dxa"/>
          <w:left w:w="28" w:type="dxa"/>
          <w:bottom w:w="28" w:type="dxa"/>
          <w:right w:w="28" w:type="dxa"/>
        </w:tblCellMar>
      </w:tblPr>
      <w:tblGrid>
        <w:gridCol w:w="1933"/>
        <w:gridCol w:w="1701"/>
        <w:gridCol w:w="1706"/>
        <w:gridCol w:w="263"/>
        <w:gridCol w:w="786"/>
        <w:gridCol w:w="135"/>
        <w:gridCol w:w="135"/>
        <w:gridCol w:w="135"/>
        <w:gridCol w:w="135"/>
        <w:gridCol w:w="263"/>
        <w:gridCol w:w="786"/>
        <w:gridCol w:w="192"/>
      </w:tblGrid>
      <w:tr>
        <w:trPr/>
        <w:tc>
          <w:tcPr>
            <w:tcW w:w="193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the period</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9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opening balance of contract liabilities</w:t>
            </w:r>
          </w:p>
        </w:tc>
        <w:tc>
          <w:tcPr>
            <w:tcW w:w="10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9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cash received</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141,126 </w:t>
            </w:r>
          </w:p>
        </w:tc>
        <w:tc>
          <w:tcPr>
            <w:tcW w:w="19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cash received during the period</w:t>
            </w:r>
          </w:p>
        </w:tc>
        <w:tc>
          <w:tcPr>
            <w:tcW w:w="10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(165,800)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(135,513)</w:t>
            </w:r>
          </w:p>
        </w:tc>
        <w:tc>
          <w:tcPr>
            <w:tcW w:w="19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effect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end of the period</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5,890</w:t>
            </w:r>
            <w:r>
              <w:rPr>
                <w:color w:val="000000"/>
              </w:rPr>
              <w:t>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5,665</w:t>
            </w:r>
            <w:r>
              <w:rPr>
                <w:color w:val="000000"/>
              </w:rPr>
              <w:t>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relate to considerations received in advance for merchandise sales and services provided for which control of the services occur at a later point in time. The contract liabilities will be recognized as revenue when the Group fulfills its performance obligations to transfer the promised products or services to customers, which is expected to occur within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GigaCloud Technology Inc</w:t>
      </w:r>
    </w:p>
    <w:p>
      <w:pPr>
        <w:pStyle w:val="TextBody"/>
        <w:bidi w:val="0"/>
        <w:spacing w:lineRule="auto" w:line="288" w:before="0" w:after="0"/>
        <w:jc w:val="center"/>
        <w:rPr/>
      </w:pPr>
      <w:r>
        <w:rPr>
          <w:rFonts w:ascii="Times New Roman;serif" w:hAnsi="Times New Roman;serif"/>
          <w:b/>
          <w:color w:val="000000"/>
          <w:sz w:val="20"/>
        </w:rPr>
        <w:t>NOTES TO THE CONDENSED</w:t>
      </w:r>
      <w:r>
        <w:rPr>
          <w:color w:val="000000"/>
        </w:rPr>
        <w:t xml:space="preserve"> </w:t>
      </w:r>
      <w:r>
        <w:rPr>
          <w:rFonts w:ascii="Times New Roman;serif" w:hAnsi="Times New Roman;serif"/>
          <w:b/>
          <w:color w:val="000000"/>
          <w:sz w:val="20"/>
        </w:rPr>
        <w:t>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has elected the practical expedient under ASC 606-10-50-14(a) not to disclose information regarding remaining performance obligations which are part of contracts that have an original expected duration of one year or less.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12.COMMITMENTS AND CONTINGENCIES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leases offices and fulfillment centers under non-cancelable operating lease agreements. Future minimum lease payments under these noncancelable lease agreements with initial terms longer than twelve months are disclosed as maturity of lease liabilities in Note 6.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had no other material commitments or long-term obligations as of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13.SUBSEQUENT EVENTS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the Group executed a series of share repurchase transactions under a Rule 10b5-1 plan. As of May 7, 2026, the Group repurchased a total of 200,628 Class A ordinary shares at an average price of $44.98, totaling approximately $9.0 million. Direct and incremental costs incurred in relation to the repurchases were $8 thousand.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information should be read in conjunction with the 2025 Form 10-K and the unaudited condensed consolidated financial statements and related notes thereto included in this quarterly report on Form 10-Q.</w:t>
      </w:r>
    </w:p>
    <w:p>
      <w:pPr>
        <w:pStyle w:val="TextBody"/>
        <w:bidi w:val="0"/>
        <w:spacing w:lineRule="auto" w:line="288"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In addition to historical information, this report contains forward-looking statements that involve risks and uncertainties which may cause our actual results to differ materially from plans and results discussed in forward-looking statements or those implied in historical results and trends. We encourage you to review the risks and uncertainties discussed in the sections entitled Item 1A. “Risk Factors” and “Forward-Looking Statements” included in the 2025 Form 10-K and this quarterly report on Form 10-Q. </w:t>
      </w:r>
    </w:p>
    <w:p>
      <w:pPr>
        <w:pStyle w:val="TextBody"/>
        <w:bidi w:val="0"/>
        <w:spacing w:lineRule="auto" w:line="288"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pioneer of global end-to-end B2B technology solutions for large parcel merchandise. We generate revenues primarily through three revenue streams: </w:t>
      </w:r>
    </w:p>
    <w:p>
      <w:pPr>
        <w:pStyle w:val="TextBody"/>
        <w:bidi w:val="0"/>
        <w:spacing w:lineRule="auto" w:line="288" w:before="120" w:after="120"/>
        <w:ind w:left="0" w:right="0" w:hanging="540"/>
        <w:jc w:val="left"/>
        <w:rPr/>
      </w:pPr>
      <w:r>
        <w:rPr>
          <w:color w:val="000000"/>
        </w:rPr>
        <w:t>•</w:t>
      </w:r>
      <w:r>
        <w:rPr>
          <w:rFonts w:ascii="Times New Roman;serif" w:hAnsi="Times New Roman;serif"/>
          <w:b/>
          <w:i/>
          <w:color w:val="000000"/>
          <w:sz w:val="20"/>
        </w:rPr>
        <w:t>GigaCloud 3P</w:t>
      </w:r>
      <w:r>
        <w:rPr>
          <w:rFonts w:ascii="Times New Roman;serif" w:hAnsi="Times New Roman;serif"/>
          <w:b w:val="false"/>
          <w:color w:val="000000"/>
          <w:sz w:val="20"/>
        </w:rPr>
        <w:t xml:space="preserve">: generates service revenues, including revenues from platform commission, ocean transportation service, drayage service, warehousing service, packaging service, last-mile delivery service and others, by facilitating transactions between sellers and buyers in our GigaCloud Marketplace. </w:t>
      </w:r>
    </w:p>
    <w:p>
      <w:pPr>
        <w:pStyle w:val="TextBody"/>
        <w:bidi w:val="0"/>
        <w:spacing w:lineRule="auto" w:line="288" w:before="120" w:after="120"/>
        <w:ind w:left="0" w:right="0" w:hanging="540"/>
        <w:jc w:val="left"/>
        <w:rPr/>
      </w:pPr>
      <w:r>
        <w:rPr>
          <w:color w:val="000000"/>
        </w:rPr>
        <w:t>•</w:t>
      </w:r>
      <w:r>
        <w:rPr>
          <w:rFonts w:ascii="Times New Roman;serif" w:hAnsi="Times New Roman;serif"/>
          <w:b/>
          <w:i/>
          <w:color w:val="000000"/>
          <w:sz w:val="20"/>
        </w:rPr>
        <w:t>GigaCloud 1P</w:t>
      </w:r>
      <w:r>
        <w:rPr>
          <w:rFonts w:ascii="Times New Roman;serif" w:hAnsi="Times New Roman;serif"/>
          <w:b w:val="false"/>
          <w:color w:val="000000"/>
          <w:sz w:val="20"/>
        </w:rPr>
        <w:t xml:space="preserve">: generates product revenues through the sale of our inventory in our GigaCloud Marketplace. </w:t>
      </w:r>
    </w:p>
    <w:p>
      <w:pPr>
        <w:pStyle w:val="TextBody"/>
        <w:bidi w:val="0"/>
        <w:spacing w:lineRule="auto" w:line="288" w:before="120" w:after="120"/>
        <w:ind w:left="0" w:right="0" w:hanging="540"/>
        <w:jc w:val="left"/>
        <w:rPr/>
      </w:pPr>
      <w:r>
        <w:rPr>
          <w:color w:val="000000"/>
        </w:rPr>
        <w:t>•</w:t>
      </w:r>
      <w:r>
        <w:rPr>
          <w:rFonts w:ascii="Times New Roman;serif" w:hAnsi="Times New Roman;serif"/>
          <w:b/>
          <w:i/>
          <w:color w:val="000000"/>
          <w:sz w:val="20"/>
        </w:rPr>
        <w:t>Off-platform</w:t>
      </w:r>
      <w:r>
        <w:rPr>
          <w:rFonts w:ascii="Times New Roman;serif" w:hAnsi="Times New Roman;serif"/>
          <w:b w:val="false"/>
          <w:color w:val="000000"/>
          <w:sz w:val="20"/>
        </w:rPr>
        <w:t xml:space="preserve">: generates product revenues through the sale of our inventory to and through third-party ecommerce websites and to brick-and-mortar retailers.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GMV from GigaCloud 3P and GigaCloud 1P together make up our GigaCloud Marketplace GMV, and GMV from off-platform and GigaCloud Marketplace GMV together make up our total GMV across the platforms. These three revenue streams complement each other to improve our value proposition to sellers and buyers in our GigaCloud Marketplace.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Key Financial and Operating Metrics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monitor the following key financial and operating metrics to evaluate the growth of our GigaCloud Marketplace, measure our performance, identify trends affecting our business, formulate business plans and make strategic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key financial and operating metrics for the periods indicated: </w:t>
      </w:r>
    </w:p>
    <w:tbl>
      <w:tblPr>
        <w:tblW w:w="6387" w:type="dxa"/>
        <w:jc w:val="left"/>
        <w:tblInd w:w="0" w:type="dxa"/>
        <w:tblLayout w:type="fixed"/>
        <w:tblCellMar>
          <w:top w:w="28" w:type="dxa"/>
          <w:left w:w="28" w:type="dxa"/>
          <w:bottom w:w="28" w:type="dxa"/>
          <w:right w:w="28" w:type="dxa"/>
        </w:tblCellMar>
      </w:tblPr>
      <w:tblGrid>
        <w:gridCol w:w="1070"/>
        <w:gridCol w:w="941"/>
        <w:gridCol w:w="944"/>
        <w:gridCol w:w="109"/>
        <w:gridCol w:w="109"/>
        <w:gridCol w:w="109"/>
        <w:gridCol w:w="246"/>
        <w:gridCol w:w="963"/>
        <w:gridCol w:w="127"/>
        <w:gridCol w:w="127"/>
        <w:gridCol w:w="127"/>
        <w:gridCol w:w="127"/>
        <w:gridCol w:w="246"/>
        <w:gridCol w:w="963"/>
        <w:gridCol w:w="17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Financial Statement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 share data)</w:t>
            </w:r>
          </w:p>
        </w:tc>
      </w:tr>
      <w:tr>
        <w:trPr/>
        <w:tc>
          <w:tcPr>
            <w:tcW w:w="29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359,488 </w:t>
            </w:r>
          </w:p>
        </w:tc>
        <w:tc>
          <w:tcPr>
            <w:tcW w:w="12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271,906 </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42,479 </w:t>
            </w:r>
          </w:p>
        </w:tc>
        <w:tc>
          <w:tcPr>
            <w:tcW w:w="12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28,323 </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ordinary share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7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61" w:type="dxa"/>
        <w:jc w:val="left"/>
        <w:tblInd w:w="0" w:type="dxa"/>
        <w:tblLayout w:type="fixed"/>
        <w:tblCellMar>
          <w:top w:w="28" w:type="dxa"/>
          <w:left w:w="28" w:type="dxa"/>
          <w:bottom w:w="28" w:type="dxa"/>
          <w:right w:w="28" w:type="dxa"/>
        </w:tblCellMar>
      </w:tblPr>
      <w:tblGrid>
        <w:gridCol w:w="1026"/>
        <w:gridCol w:w="901"/>
        <w:gridCol w:w="907"/>
        <w:gridCol w:w="109"/>
        <w:gridCol w:w="109"/>
        <w:gridCol w:w="109"/>
        <w:gridCol w:w="267"/>
        <w:gridCol w:w="912"/>
        <w:gridCol w:w="137"/>
        <w:gridCol w:w="137"/>
        <w:gridCol w:w="137"/>
        <w:gridCol w:w="137"/>
        <w:gridCol w:w="267"/>
        <w:gridCol w:w="912"/>
        <w:gridCol w:w="194"/>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Non-GAAP Financial Metrics</w:t>
            </w:r>
            <w:r>
              <w:rPr>
                <w:rFonts w:ascii="Times New Roman;serif" w:hAnsi="Times New Roman;serif"/>
                <w:b/>
                <w:color w:val="000000"/>
                <w:sz w:val="13"/>
              </w:rPr>
              <w:t>(1)</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 share data)</w:t>
            </w:r>
          </w:p>
        </w:tc>
      </w:tr>
      <w:tr>
        <w:trPr/>
        <w:tc>
          <w:tcPr>
            <w:tcW w:w="283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45,624 </w:t>
            </w:r>
          </w:p>
        </w:tc>
        <w:tc>
          <w:tcPr>
            <w:tcW w:w="13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33,183 </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EPS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(1)    See “Item 2. Management’s Discussion and Analysis of Financial Condition and Results of Operation——Non-GAAP Financial Measures” for information regarding our use of Adjusted EBITDA and Adjusted EPS – diluted and a reconciliation of net income to Adjusted EBITDA and net income per ordinary share – diluted to Adjusted EPS – diluted.</w:t>
      </w:r>
    </w:p>
    <w:tbl>
      <w:tblPr>
        <w:tblW w:w="7911" w:type="dxa"/>
        <w:jc w:val="left"/>
        <w:tblInd w:w="0" w:type="dxa"/>
        <w:tblLayout w:type="fixed"/>
        <w:tblCellMar>
          <w:top w:w="28" w:type="dxa"/>
          <w:left w:w="28" w:type="dxa"/>
          <w:bottom w:w="28" w:type="dxa"/>
          <w:right w:w="28" w:type="dxa"/>
        </w:tblCellMar>
      </w:tblPr>
      <w:tblGrid>
        <w:gridCol w:w="1673"/>
        <w:gridCol w:w="1469"/>
        <w:gridCol w:w="1478"/>
        <w:gridCol w:w="109"/>
        <w:gridCol w:w="109"/>
        <w:gridCol w:w="109"/>
        <w:gridCol w:w="211"/>
        <w:gridCol w:w="976"/>
        <w:gridCol w:w="109"/>
        <w:gridCol w:w="109"/>
        <w:gridCol w:w="109"/>
        <w:gridCol w:w="109"/>
        <w:gridCol w:w="211"/>
        <w:gridCol w:w="976"/>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Months Ended March 31,</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GigaCloud Marketplace GMV (in $ thousands)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Active 3P sellers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3P seller GigaCloud Marketplace GMV(in $ thousands)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908,609 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734,300 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Active buyers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Spend per active buyer (in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133,457 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142,156 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GigaCloud Marketplace GMV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growth in GigaCloud Marketplace GMV, including GMV from both GigaCloud 3P and GigaCloud 1P, reflects our ability to attract and retain sellers and buyers in the GigaCloud Marketplace. The revenues we generate in our marketplace are highly correlated to the amount of GMV transacted in the GigaCloud Marketplace.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GigaCloud Marketplace GMV increased to $1,664.6 million in the 12 months ended March 31, 2026 from $1,416.7 million in the 12 months ended March 31, 2025, representing a growth of 17.5% period-over-period, primarily due to the continued increase in the numbers of sellers and buyers transacting in our marketplace as our marketplace continued to gain scale and market position.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Active 3P Sellers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active 3P sellers in the GigaCloud Marketplace increased to 1,377 in the 12 months ended March 31, 2026 from 1,154 in the 12 months ended March 31, 2025, representing an increase of 19.3% period-over-period. We view active 3P sellers as a key driver of the product catalog in our marketplace, which helps attract and retain buyers. The GigaCloud Marketplace offers SKUs across furniture, home appliances, fitness equipment and other large parcel categories from our active 3P sellers. The number of SKUs was over 50,000 as of March 31, 2026. We expect to grow the number of active 3P sellers through geographic expansion, suppliers outreach, marketing initiatives, referrals, and word-of-mouth. We also leverage our 1P inventory sales to establish new markets, reducing the risk in geographic expansion for new sellers, and increasing the appeal for new sellers to join our marketplace.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3P Seller GigaCloud Marketplace GMV</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3P Seller GigaCloud Marketplace GMV represents the GMV our 3P Sellers transact in the GigaCloud Marketplace. 3P Seller GigaCloud Marketplace GMV increased to $908.6 million in the 12 months ended March 31, 2026 from $734.3 million in the 12 months ended March 31, 2025, representing an increase of 23.7% period-over-period as our marketplace continues to gain scale and market position. 3P Seller GigaCloud Marketplace GMV represented 54.6% and 51.8% of total GigaCloud Marketplace GMV in the 12 months ended March 31, 2026 and March 31, 2025, respectively.</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Active Buyers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active buyers in the GigaCloud Marketplace increased to 12,473 in the 12 months ended March 31, 2026 from 9,966 in the 12 months ended March 31, 2025, representing an increase of 25.2% period-over-period as our marketplace continues to gain scale and market position. We view the number of active buyers as a key driver of our GigaCloud Marketplace GMV and revenue growth, and a key indicator of our ability to attract and engage buyers in our marketplace. We plan to expand our active buyers by enhancing our marketplace product offerings, and leveraging referrals from existing users.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Spend Per Active Buyer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spend per active buyer in our GigaCloud Marketplace decreased to $133,457 in the 12 months ended March 31, 2026 from $142,156 in the 12 months ended March 31, 2025, representing a decrease of 6.1% period-over-period. Spend per active buyer is a key driver of GMV and revenue for our GigaCloud Marketplace. We generally grow spend per active buyer by expanding our product offerings, increasing buyers’ purchase frequency and raising the average price per purchase. The decrease in spend per active buyer in the 12 months ended March 31, 2026 was primarily due to new buyers onboarded during the period generally require longer period of time to increase their spending in our GigaCloud Marketplace.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Key Factors Affecting Our Results of Operations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Key factors affecting our results of operations include the following: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Our Ability to Attract and Retain Sellers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Sellers in our marketplace are typically manufacturers operating in Asia who are able to use our supply chain capabilities to establish overseas sales channels without having to invest in their own logistics or fulfillment centers overseas. We are focused on growing and retaining the number of sellers who choose to list their large parcel merchandise in our marketplace and utilize our fulfillment and logistics network for the shipping and handling of their products.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number of active 3P sellers was 1,377 in the 12 months ended March 31, 2026, compared to 1,154 in the 12 months ended March 31, 2025, representing an increase of 19.3% compared to the previous period. We believe this increasing trend will continue because of the growing recognition of our marketplace, our seller-friendly comprehensive logistics network enabling hassle-free delivery of large parcel merchandise and our expansion into new markets.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Using our marketplace, sellers are able to quickly gain access to key global markets in which we operate, including the U.S., the U.K., Germany, Japan and Canada. We provide a flat rate program for shipping and handling, and sellers are able to utilize the space in our fulfillment centers. We also create sales analytics which provide valuable information as sellers determine which products to bring to market.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attract new sellers predominantly through organic channels such as geographic expansion, suppliers outreach, marketing initiatives, referrals and word-of-mouth. In the past, we have completed acquisitions that supplemented our supply chain, fulfillment and logistics capabilities, which attracted more sellers and buyers onto our GigaCloud Marketplace after these strategic acquisitions. In January 2026, we completed the acquisition of New Classic. We may consider future acquisitions to increase the number of sellers and buyers. We also plan to augment organic customer acquisition by adding additional sales and marketing employees to enhance seller and buyer growth.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Our Ability to Attract and Retain Buyers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Buyers in our marketplace are typically resellers operating in the U.S., Europe and Japan who procure large parcel merchandise to resell to other retailers or to end customers. Our marketplace is attractive to buyers because we minimize inventory risk from our buyers’ business operations. As of March 31, 2026, the number of SKUs from GigaCloud 1P was over 38,000. Combined with the SKUs offered by active 3P sellers, buyers had access to more than 80,000 SKUs in total. Our buyers can browse products in our marketplace and list products on their preferred ecommerce websites such as Wayfair, Amazon, Home Depot, Walmart and Overstock, or their own store prior to procuring and storing the product in a warehouse or shop. Once a sale to the end customer takes place, buyers can order the product in our marketplace and we will handle the fulfillment directly to the end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12 months ended March 31, 2026, we had 12,473 active buyers in our marketplace with an average $133,457 spend per active buyer, representing a 25.2% increase in active buyers and a 6.1% decrease in spend per active buyer compared to the previous period, mirroring the macroeconomic challenges faced by retailers.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Recent and Future Acquisitions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organic growth, we have grown through acquisitions that have deepened and expanded our presence in current markets and facilitated entry into attractive new markets.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we have completed strategic acquisitions to broaden our product offerings, supplement our supply chain, fulfillment and logistics capabilities. In January 2026, we completed the acquisition of New Classic. We may consider future acquisitions of assets, companies, technologies or businesses that are complementary to our business and the costs of identifying and consummating acquisitions may be significant. Acquisitions could result in the use of substantial amounts of cash, the occurrence of significant goodwill impairment charges, amortization expenses for other intangible assets and exposure to potential unknown liabilities of the acquired business.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any new acquisitions, our results of operations may be affected by the newly acquired businesses or operations, the purchase accounting for the acquisition, any liabilities incurred in connection with the acquisitions and expenditures made to integrate the newly acquired businesses or operations. As a result of our acquisitions and the consolidation of our operating subsidiaries’ financial results into our consolidated financial results, the periods presented in our historical financial statements may not be comparable to one another and our future results of operations and financial results may also differ.</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Overall Economic Trends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overall economic environment and related changes in customer behavior have a significant impact on our business. Customer spending, which is discretionary, ultimately impacts platform users’ spending on our products and services, and therefore positive economic conditions generally drive stronger business performance.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Recent global economic uncertainties, inflation, fluctuating interest rates, lower consumer confidence and demand for discretionary goods, and geopolitical events such as recent international trade disputes and the ongoing conflicts in the Middle East, along with other global tensions, could further impact the demand of products and freight rates. Furthermore, the recent enactment of heightened tariffs by the U.S. government, along with the unpredictability of tariff regimes, shipping and freight rates, introduces further uncertainty and may impact both the pricing of goods and services and our profitability. Other macroeconomic factors that can affect customer spending patterns include employment rates, availability of customer and commercial credit, interest rates, tax rates and energy costs.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Our Ability to Broaden Service Offerings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are also affected by our ability to introduce new service offerings. We have a history of expanding our service offerings to enhance our customer experience and to increase revenues. We started our business by primarily selling our own self-procured large parcel merchandise directly to end customers. We expanded our service offerings and launched our GigaCloud Marketplace in 2019, and the revenues generated by GigaCloud Marketplace grew quickly, representing 57.5% and 64.5% of our total revenues in the three months ended March 31, 2026 and 2025, respectively. We continue to evaluate opportunities to launch additional services.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Our Ability to Effectively Invest in our Infrastructure and Technology Platform</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depend in part on our ability to invest in our infrastructure and technology platform to cost-effectively meet the demands of our anticipated growth. Our global fulfillment and logistics network is a key part of our infrastructure, which consists of fulfillment centers and other facilities that are strategically located, designed and equipped to efficiently manage inventory and to fulfill customers orders and other needs. As of March 31, 2026, we leased 36 fulfillment centers with an aggregate gross floor area of approximately 11.7 million square feet in five countries, and two other facilities with storage and showroom functions with an aggregate gross floor area of approximately 68,048 square feet in the U.S. Additionally, we maintain partnerships with several major shipping, trucking and freight service providers to supply our transportation network and shipping requirements.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improve our operational efficiency depends on our ability to invest in our infrastructure and technology platform, including our warehousing and fulfillment solutions and AI technology. We also invest in our research and development personnel for the design, development, and testing of our platform, and incur software development costs for internal-use software and our group’s websites. We have successfully improved our infrastructure and technology solutions over the past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Seasonality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seasonality. We expect the last quarter of the year to be the most active because of the November and December holiday sales period. Our GigaCloud Marketplace GMV is usually the largest in the fourth quarter of a year. It is uncertain whether this is an indicator of industry trends going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Key Components of Results of Operations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Revenues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service revenues from our GigaCloud 3P business, and product revenues from our GigaCloud 1P, off-platform businesses and others. Service revenues from GigaCloud 3P, including revenues from platform commission, ocean transportation service, drayage service, warehousing service, packaging service, last-mile delivery service and others are generated by facilitating transactions between sellers and buyers in our GigaCloud Marketplace. Product revenues from GigaCloud 1P are generated through the product sales of our inventory through our GigaCloud Marketplace, and product revenues from off-platform are generated from product sales of our inventory to and through third-party ecommerce websites, and to brick-and-mortar retailers.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breakdown of our revenues, both in absolute amount and as a percentage of our total revenues, for the periods presented: </w:t>
      </w:r>
    </w:p>
    <w:tbl>
      <w:tblPr>
        <w:tblW w:w="7258" w:type="dxa"/>
        <w:jc w:val="left"/>
        <w:tblInd w:w="0" w:type="dxa"/>
        <w:tblLayout w:type="fixed"/>
        <w:tblCellMar>
          <w:top w:w="28" w:type="dxa"/>
          <w:left w:w="28" w:type="dxa"/>
          <w:bottom w:w="28" w:type="dxa"/>
          <w:right w:w="28" w:type="dxa"/>
        </w:tblCellMar>
      </w:tblPr>
      <w:tblGrid>
        <w:gridCol w:w="881"/>
        <w:gridCol w:w="772"/>
        <w:gridCol w:w="777"/>
        <w:gridCol w:w="211"/>
        <w:gridCol w:w="841"/>
        <w:gridCol w:w="109"/>
        <w:gridCol w:w="109"/>
        <w:gridCol w:w="109"/>
        <w:gridCol w:w="109"/>
        <w:gridCol w:w="314"/>
        <w:gridCol w:w="317"/>
        <w:gridCol w:w="109"/>
        <w:gridCol w:w="109"/>
        <w:gridCol w:w="109"/>
        <w:gridCol w:w="109"/>
        <w:gridCol w:w="211"/>
        <w:gridCol w:w="841"/>
        <w:gridCol w:w="109"/>
        <w:gridCol w:w="109"/>
        <w:gridCol w:w="109"/>
        <w:gridCol w:w="109"/>
        <w:gridCol w:w="314"/>
        <w:gridCol w:w="317"/>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percentages)</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revenues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commission</w:t>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Ocean transportation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Drayage service</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Warehousing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service</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Last-mile delivery 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revenues</w:t>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Off-platform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GigaCloud 1P</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90,013 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81,385 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242,948</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67.6</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177,838</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65.4</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reported are attributed to geographic areas based on locations of our fulfillment centers, except for platform commission revenues which are attributed to Hong Kong, where the server of the GigaCloud Marketplace is located. Revenues by geographic regions for the three months ended March 31, 2026 and March 31, 2025 were as follows: </w:t>
      </w:r>
    </w:p>
    <w:tbl>
      <w:tblPr>
        <w:tblW w:w="5603" w:type="dxa"/>
        <w:jc w:val="left"/>
        <w:tblInd w:w="0" w:type="dxa"/>
        <w:tblLayout w:type="fixed"/>
        <w:tblCellMar>
          <w:top w:w="28" w:type="dxa"/>
          <w:left w:w="28" w:type="dxa"/>
          <w:bottom w:w="28" w:type="dxa"/>
          <w:right w:w="28" w:type="dxa"/>
        </w:tblCellMar>
      </w:tblPr>
      <w:tblGrid>
        <w:gridCol w:w="1052"/>
        <w:gridCol w:w="926"/>
        <w:gridCol w:w="931"/>
        <w:gridCol w:w="211"/>
        <w:gridCol w:w="841"/>
        <w:gridCol w:w="109"/>
        <w:gridCol w:w="109"/>
        <w:gridCol w:w="109"/>
        <w:gridCol w:w="109"/>
        <w:gridCol w:w="211"/>
        <w:gridCol w:w="84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 by geographic regions:</w:t>
            </w:r>
          </w:p>
        </w:tc>
        <w:tc>
          <w:tcPr>
            <w:tcW w:w="26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Platform commission</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Ocean transportation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11,358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Drayage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2,772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Warehousing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Packaging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7,250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Last-mile delivery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49,244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5,031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242,948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177,838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(1)    Other regions mainly include the U.K., Japan, Canada and Hong Kong, with variations across different product/ service lines. No other individual region’s revenues exceeded 10% of our total revenues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Service Revenues—GigaCloud 3P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service revenues primarily through the various 3P activities of sellers and buyers in the GigaCloud Marketplace, including revenues from platform commission, ocean transportation service, drayage service, warehousing service, packaging service, last-mile delivery service and others. When a seller and buyer enter into a transaction in the GigaCloud Marketplace, we generate revenues from platform services by earning a percentage commission depending on the transaction value. The standard commission ranges between 1% and 5%. Additionally, we charge a fulfillment fee for other freight services such as delivery of products via ocean transportation. We charge drayage service fees in connection with transportation of products from ports to warehouses at a flat fee. We charge the sellers storage fees based on the number of days and the size of the products that are stored in our fulfillment centers. We charge packaging fees in connection with merchandise that we pack and ship. We also charge buyers a flat fee for last-mile delivery services for delivery of products to end customers directly from our fulfillment centers, which varies by the weight of the products.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in the three months ended March 31, 2026, when we had excess fulfillment capacity, we utilized such excess fulfillment capacity and our extensive logistics network to offer third-party logistics services to customers to help fulfill their large parcel transportation needs. As we continue to grow our GigaCloud Marketplace, we expect to dedicate our logistics capacity to customers using our marketplace and to products sold on our own marketplace, and will opportunistically provide third-party logistics services when there is excess capacity within our network.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Revenues—GigaCloud 1P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product revenues from the sale of our own inventory in our marketplace. Our 1P business creates more products for buyers, gives us insights into seller needs, provides us with proprietary data, and increases the velocity of sales in our marketplace.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Revenues—Off-platform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product revenues primarily from the sales of our own inventory through two sales models, which are (i) product sales made to third-party ecommerce websites and to brick-and-mortar retailers, or Product Sales to B, such as Wayfair, Amazon, Home Depot, Walmart and Overstock; and (ii) product sales to individual customers through third-party ecommerce websites, or Product Sales to C, such as Amazon, OTTO, Real and Target, where end customers can visit our online stores and purchase directly from us. Regarding Product Sales to B, as expenses charged by these websites are not in exchange for a distinct good or service, the payments to these websites are not recognized as expenses but netted against revenues. With respect to Product Sales to C, expenses incurred for product sales made through these websites are recorded as selling and marketing expenses.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Cost of Revenues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cost of revenues primarily consists of cost of services and cost of products. The following table sets forth a breakdown of our cost of revenues, both in absolute amount and as a percentage of our total revenues, for the periods presented: </w:t>
      </w:r>
    </w:p>
    <w:tbl>
      <w:tblPr>
        <w:tblW w:w="6117" w:type="dxa"/>
        <w:jc w:val="left"/>
        <w:tblInd w:w="0" w:type="dxa"/>
        <w:tblLayout w:type="fixed"/>
        <w:tblCellMar>
          <w:top w:w="28" w:type="dxa"/>
          <w:left w:w="28" w:type="dxa"/>
          <w:bottom w:w="28" w:type="dxa"/>
          <w:right w:w="28" w:type="dxa"/>
        </w:tblCellMar>
      </w:tblPr>
      <w:tblGrid>
        <w:gridCol w:w="542"/>
        <w:gridCol w:w="477"/>
        <w:gridCol w:w="480"/>
        <w:gridCol w:w="211"/>
        <w:gridCol w:w="841"/>
        <w:gridCol w:w="109"/>
        <w:gridCol w:w="109"/>
        <w:gridCol w:w="109"/>
        <w:gridCol w:w="109"/>
        <w:gridCol w:w="262"/>
        <w:gridCol w:w="264"/>
        <w:gridCol w:w="109"/>
        <w:gridCol w:w="109"/>
        <w:gridCol w:w="109"/>
        <w:gridCol w:w="109"/>
        <w:gridCol w:w="211"/>
        <w:gridCol w:w="841"/>
        <w:gridCol w:w="109"/>
        <w:gridCol w:w="109"/>
        <w:gridCol w:w="109"/>
        <w:gridCol w:w="109"/>
        <w:gridCol w:w="262"/>
        <w:gridCol w:w="264"/>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for percentages)</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49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129,024 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273,642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208,180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primarily consist of delivery costs, an allocated portion of fulfillment center rental expenses, and costs associated with the operation of the GigaCloud Marketplace.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products primarily consist of the purchase price of merchandise, shipping and handling costs for self-owned merchandise, rental expenses for fulfillment centers excluding the portion allocated to cost of service revenue and abnormal capacity, packaging fees and personnel related costs. Shipping and handling costs primarily consist of those costs incurred during the delivery process, including the expenses attributable to shipment and handling activities, when we deliver a good to a customer.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Gross Profit and Margin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a breakdown of our gross profit and gross profit margin for each of the periods presented: </w:t>
      </w:r>
    </w:p>
    <w:tbl>
      <w:tblPr>
        <w:tblW w:w="4421" w:type="dxa"/>
        <w:jc w:val="left"/>
        <w:tblInd w:w="0" w:type="dxa"/>
        <w:tblLayout w:type="fixed"/>
        <w:tblCellMar>
          <w:top w:w="28" w:type="dxa"/>
          <w:left w:w="28" w:type="dxa"/>
          <w:bottom w:w="28" w:type="dxa"/>
          <w:right w:w="28" w:type="dxa"/>
        </w:tblCellMar>
      </w:tblPr>
      <w:tblGrid>
        <w:gridCol w:w="549"/>
        <w:gridCol w:w="480"/>
        <w:gridCol w:w="485"/>
        <w:gridCol w:w="396"/>
        <w:gridCol w:w="203"/>
        <w:gridCol w:w="508"/>
        <w:gridCol w:w="203"/>
        <w:gridCol w:w="203"/>
        <w:gridCol w:w="203"/>
        <w:gridCol w:w="396"/>
        <w:gridCol w:w="203"/>
        <w:gridCol w:w="592"/>
      </w:tblGrid>
      <w:tr>
        <w:trPr/>
        <w:tc>
          <w:tcPr>
            <w:tcW w:w="5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percentages)</w:t>
            </w:r>
          </w:p>
        </w:tc>
      </w:tr>
      <w:tr>
        <w:trPr/>
        <w:tc>
          <w:tcPr>
            <w:tcW w:w="151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85,846</w:t>
            </w:r>
          </w:p>
        </w:tc>
        <w:tc>
          <w:tcPr>
            <w:tcW w:w="60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63,726</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selling and marketing expenses, general and administrative expenses, research and development expenses and losses on disposal of property and equipment. The following table sets forth a breakdown of our operating expenses, both in absolute amount and as a percentage of our total revenues, for the periods presented: </w:t>
      </w:r>
    </w:p>
    <w:tbl>
      <w:tblPr>
        <w:tblW w:w="8247" w:type="dxa"/>
        <w:jc w:val="left"/>
        <w:tblInd w:w="0" w:type="dxa"/>
        <w:tblLayout w:type="fixed"/>
        <w:tblCellMar>
          <w:top w:w="28" w:type="dxa"/>
          <w:left w:w="28" w:type="dxa"/>
          <w:bottom w:w="28" w:type="dxa"/>
          <w:right w:w="28" w:type="dxa"/>
        </w:tblCellMar>
      </w:tblPr>
      <w:tblGrid>
        <w:gridCol w:w="1390"/>
        <w:gridCol w:w="1220"/>
        <w:gridCol w:w="1229"/>
        <w:gridCol w:w="211"/>
        <w:gridCol w:w="736"/>
        <w:gridCol w:w="109"/>
        <w:gridCol w:w="109"/>
        <w:gridCol w:w="109"/>
        <w:gridCol w:w="109"/>
        <w:gridCol w:w="263"/>
        <w:gridCol w:w="263"/>
        <w:gridCol w:w="109"/>
        <w:gridCol w:w="109"/>
        <w:gridCol w:w="109"/>
        <w:gridCol w:w="109"/>
        <w:gridCol w:w="211"/>
        <w:gridCol w:w="736"/>
        <w:gridCol w:w="109"/>
        <w:gridCol w:w="109"/>
        <w:gridCol w:w="109"/>
        <w:gridCol w:w="109"/>
        <w:gridCol w:w="263"/>
        <w:gridCol w:w="263"/>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percentages)</w:t>
            </w:r>
          </w:p>
        </w:tc>
      </w:tr>
      <w:tr>
        <w:trPr/>
        <w:tc>
          <w:tcPr>
            <w:tcW w:w="383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disposal of property and equipment</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43,367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and Marketing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selling and marketing expenses primarily consist of staff costs which included share-based compensation, payroll and related expenses for personnel engaged in selling and marketing activities, platform service fees charged by third-party ecommerce websites arising from Product sales to C on Off-platform channels, advertising expenses, traveling expenses and commissions paid to independent sales representatives. Advertising expenses include advertisements through various forms of media and marketing and promotional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breakdown of our selling and marketing expenses, both in absolute amount and as a percentage of our total revenues, for the periods presented: </w:t>
      </w:r>
    </w:p>
    <w:tbl>
      <w:tblPr>
        <w:tblW w:w="7453" w:type="dxa"/>
        <w:jc w:val="left"/>
        <w:tblInd w:w="0" w:type="dxa"/>
        <w:tblLayout w:type="fixed"/>
        <w:tblCellMar>
          <w:top w:w="28" w:type="dxa"/>
          <w:left w:w="28" w:type="dxa"/>
          <w:bottom w:w="28" w:type="dxa"/>
          <w:right w:w="28" w:type="dxa"/>
        </w:tblCellMar>
      </w:tblPr>
      <w:tblGrid>
        <w:gridCol w:w="1178"/>
        <w:gridCol w:w="1036"/>
        <w:gridCol w:w="1041"/>
        <w:gridCol w:w="211"/>
        <w:gridCol w:w="736"/>
        <w:gridCol w:w="109"/>
        <w:gridCol w:w="109"/>
        <w:gridCol w:w="109"/>
        <w:gridCol w:w="109"/>
        <w:gridCol w:w="210"/>
        <w:gridCol w:w="211"/>
        <w:gridCol w:w="109"/>
        <w:gridCol w:w="109"/>
        <w:gridCol w:w="109"/>
        <w:gridCol w:w="109"/>
        <w:gridCol w:w="211"/>
        <w:gridCol w:w="736"/>
        <w:gridCol w:w="109"/>
        <w:gridCol w:w="109"/>
        <w:gridCol w:w="109"/>
        <w:gridCol w:w="109"/>
        <w:gridCol w:w="210"/>
        <w:gridCol w:w="21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percentages)</w:t>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Selling and marketing expenses</w:t>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Platform service fees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Traveling</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selling and marketing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18,558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primarily consist of staff costs which included share-based compensation, payroll and related costs for employees involved in general corporate functions, professional fees, office supplies and utility, rental and depreciation expenses associated with the use of facilities and equipment by these employees, rental expenses during the initial start-up period in our fulfillment centers and other abnormal capacity costs, property insurance, provision for bad debts and other general corporate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breakdown of our general and administrative expenses, both in absolute amount and as a percentage of our total revenues, for the periods presented: </w:t>
      </w:r>
    </w:p>
    <w:tbl>
      <w:tblPr>
        <w:tblW w:w="7797" w:type="dxa"/>
        <w:jc w:val="left"/>
        <w:tblInd w:w="0" w:type="dxa"/>
        <w:tblLayout w:type="fixed"/>
        <w:tblCellMar>
          <w:top w:w="28" w:type="dxa"/>
          <w:left w:w="28" w:type="dxa"/>
          <w:bottom w:w="28" w:type="dxa"/>
          <w:right w:w="28" w:type="dxa"/>
        </w:tblCellMar>
      </w:tblPr>
      <w:tblGrid>
        <w:gridCol w:w="1342"/>
        <w:gridCol w:w="1180"/>
        <w:gridCol w:w="1182"/>
        <w:gridCol w:w="211"/>
        <w:gridCol w:w="631"/>
        <w:gridCol w:w="109"/>
        <w:gridCol w:w="109"/>
        <w:gridCol w:w="109"/>
        <w:gridCol w:w="109"/>
        <w:gridCol w:w="210"/>
        <w:gridCol w:w="211"/>
        <w:gridCol w:w="109"/>
        <w:gridCol w:w="109"/>
        <w:gridCol w:w="109"/>
        <w:gridCol w:w="109"/>
        <w:gridCol w:w="211"/>
        <w:gridCol w:w="736"/>
        <w:gridCol w:w="109"/>
        <w:gridCol w:w="109"/>
        <w:gridCol w:w="109"/>
        <w:gridCol w:w="109"/>
        <w:gridCol w:w="210"/>
        <w:gridCol w:w="21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93"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percentages)</w:t>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General and administrative expenses</w:t>
            </w:r>
          </w:p>
        </w:tc>
        <w:tc>
          <w:tcPr>
            <w:tcW w:w="9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84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Office supplies and utility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4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insurance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Donation</w:t>
            </w:r>
          </w:p>
        </w:tc>
        <w:tc>
          <w:tcPr>
            <w:tcW w:w="84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bad debts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general and administrative expenses</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9,762</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14,340</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primarily consist of IT- and platform-related personnel costs, including share-based compensation expense associated with our engineering, programming, data analytics, and product development personnel responsible for the design, development, and testing of our platform, rental and depreciation expenses associated with the use of facilities and equipment of research and development personnel, and information technology costs.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Losses on Disposal of Property and Equipment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losses on disposal of property and equipment primarily consist of the losses on the disposal of old and obsolete property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expense primarily consists of our financial lease interest expense for leased equipment used in our fulfillment centers and other facilities.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income primarily consists of interest income from bank deposits, wealth management products and short-term investment.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Gains (Losses), Net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foreign exchange gains and losses represent the gains or losses due to appreciation or depreciation of the U.S. dollar against the Japanese Yen, the Euro, the Canadian dollar and the British Pound.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Others, net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Others, net primarily consists of credit card cash back.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income tax expense primarily consists of current tax expense, deferred tax expense and uncertain tax positions.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unaudited condensed consolidated results of operations, both in absolute amount and as a percentage of our total revenues, for the periods presented. This information should be read together with our unaudited condensed consolidated financial statements and related notes included elsewhere in this quarterly report. The results of operations in any period are not necessarily indicative of our future trends.</w:t>
      </w:r>
    </w:p>
    <w:tbl>
      <w:tblPr>
        <w:tblW w:w="8548" w:type="dxa"/>
        <w:jc w:val="left"/>
        <w:tblInd w:w="0" w:type="dxa"/>
        <w:tblLayout w:type="fixed"/>
        <w:tblCellMar>
          <w:top w:w="28" w:type="dxa"/>
          <w:left w:w="28" w:type="dxa"/>
          <w:bottom w:w="28" w:type="dxa"/>
          <w:right w:w="28" w:type="dxa"/>
        </w:tblCellMar>
      </w:tblPr>
      <w:tblGrid>
        <w:gridCol w:w="1392"/>
        <w:gridCol w:w="1221"/>
        <w:gridCol w:w="1227"/>
        <w:gridCol w:w="211"/>
        <w:gridCol w:w="826"/>
        <w:gridCol w:w="109"/>
        <w:gridCol w:w="109"/>
        <w:gridCol w:w="109"/>
        <w:gridCol w:w="109"/>
        <w:gridCol w:w="314"/>
        <w:gridCol w:w="317"/>
        <w:gridCol w:w="109"/>
        <w:gridCol w:w="109"/>
        <w:gridCol w:w="109"/>
        <w:gridCol w:w="109"/>
        <w:gridCol w:w="211"/>
        <w:gridCol w:w="736"/>
        <w:gridCol w:w="109"/>
        <w:gridCol w:w="109"/>
        <w:gridCol w:w="109"/>
        <w:gridCol w:w="109"/>
        <w:gridCol w:w="314"/>
        <w:gridCol w:w="317"/>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7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for percentages)</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273,642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208,180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85,846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63,726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disposal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43,367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42,479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gains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45,917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32,505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Comparison of Three Months Ended March 31, 2026 and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revenues, which primarily consist of service revenues generated from GigaCloud 3P and product revenues generated from GigaCloud 1P and off-platform sales, increased by 32.2% to $359.5 million in the three months ended March 31, 2026 from $271.9 million in the three months ended March 31, 2025. This increase was primarily due to the increased market recognition and scale of our GigaCloud Marketplace, leading to increases in our GigaCloud Marketplace GMV, sales volume and number of sellers and buyers.</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i/>
          <w:color w:val="000000"/>
          <w:sz w:val="20"/>
        </w:rPr>
        <w:t>Service Revenues from GigaCloud 3P</w:t>
      </w:r>
      <w:r>
        <w:rPr>
          <w:rFonts w:ascii="Times New Roman;serif" w:hAnsi="Times New Roman;serif"/>
          <w:b w:val="false"/>
          <w:color w:val="000000"/>
          <w:sz w:val="20"/>
        </w:rPr>
        <w:t xml:space="preserve">. Our service revenues increased by 23.8% to $116.5 million in the three months ended March 31, 2026 from $94.1 million in the three months ended March 31, 2025. The increase was primarily attributable to: </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 xml:space="preserve">an increase in revenues from last mile delivery services by 40.2% to $69.0 million in the three months ended March 31, 2026 from $49.2 million in the three months ended March 31, 2025 as our GigaCloud Marketplace GMV and delivery volume continued to increase; </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 xml:space="preserve">an increase in revenues from packaging services by 30.1% to $9.5 million in the three months ended March 31, 2026 from $7.3 million in the three months ended March 31, 2025 as we handled more products as our GigaCloud Marketplace GMV continued to increase; </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 xml:space="preserve">an increase in revenues from warehousing services by 14.2% to $16.1 million in the three months ended March 31, 2026 from $14.1 million in the three months ended March 31, 2025 as we handled more products as our GigaCloud Marketplace GMV continued to increase; </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an increase in revenues from platform services by 27.9% to $5.5 million in the three months ended March 31, 2026 from $4.3 million in the three months ended March 31, 2025 as our GigaCloud Marketplace GMV continued to increase;</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 xml:space="preserve">an increase in revenues from other services by 10.0% to $5.5 million in the three months ended March 31, 2026 from $5.0 million in the three months ended March 31, 2025, primarily due to an increase in other supplemental fulfillment services provided by our Marketplace compared to the previous period; partially offset by </w:t>
      </w:r>
    </w:p>
    <w:p>
      <w:pPr>
        <w:pStyle w:val="TextBody"/>
        <w:bidi w:val="0"/>
        <w:spacing w:lineRule="auto" w:line="288" w:before="0" w:after="0"/>
        <w:ind w:left="0" w:right="0" w:hanging="576"/>
        <w:jc w:val="left"/>
        <w:rPr/>
      </w:pPr>
      <w:r>
        <w:rPr>
          <w:color w:val="000000"/>
        </w:rPr>
        <w:t>◦</w:t>
      </w:r>
      <w:r>
        <w:rPr>
          <w:rFonts w:ascii="Times New Roman;serif" w:hAnsi="Times New Roman;serif"/>
          <w:b w:val="false"/>
          <w:color w:val="000000"/>
          <w:sz w:val="20"/>
        </w:rPr>
        <w:t>a decrease in revenues from ocean transportation services by 31.6% to $7.8 million in the three months ended March 31, 2026 from $11.4 million in the three months ended March 31, 2025 as the pricing and volume of ocean transportation services decreased during the period.</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i/>
          <w:color w:val="000000"/>
          <w:sz w:val="20"/>
        </w:rPr>
        <w:t>Product Revenues from GigaCloud 1P.</w:t>
      </w:r>
      <w:r>
        <w:rPr>
          <w:color w:val="000000"/>
        </w:rPr>
        <w:t xml:space="preserve"> </w:t>
      </w:r>
      <w:r>
        <w:rPr>
          <w:rFonts w:ascii="Times New Roman;serif" w:hAnsi="Times New Roman;serif"/>
          <w:b w:val="false"/>
          <w:color w:val="000000"/>
          <w:sz w:val="20"/>
        </w:rPr>
        <w:t>Our product revenues from GigaCloud 1P increased by 10.6% to $90.0 million in the three months ended March 31, 2026 from $81.4 million in the three months ended March 31, 2025. The increase was primarily due to increases in GigaCloud Marketplace GMV and the number of buyers as our marketplace continued to grow in scale.</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i/>
          <w:color w:val="000000"/>
          <w:sz w:val="20"/>
        </w:rPr>
        <w:t>Product Revenues from Off-platform.</w:t>
      </w:r>
      <w:r>
        <w:rPr>
          <w:color w:val="000000"/>
        </w:rPr>
        <w:t xml:space="preserve"> </w:t>
      </w:r>
      <w:r>
        <w:rPr>
          <w:rFonts w:ascii="Times New Roman;serif" w:hAnsi="Times New Roman;serif"/>
          <w:b w:val="false"/>
          <w:color w:val="000000"/>
          <w:sz w:val="20"/>
        </w:rPr>
        <w:t xml:space="preserve">Our product revenues from off-platform increased by 58.6% to $152.9 million in the three months ended March 31, 2026 from $96.4 million in the three months ended March 31, 2025. The increase was primarily due to increases in sales channels and sales volume in certain third-party off-platform, as well as increased revenues generated from offline sales channels acquired from New Classic.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revenues increased by 31.4% to $273.6 million in the three months ended March 31, 2026 from $208.2 million in the three months ended March 31, 2025.</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Our cost of services increased by 34.6% to $106.6 million in the three months ended March 31, 2026 from $79.2 million in the three months ended March 31, 2025, primarily due to:</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an increase in delivery cost by 37.7% to $74.9 million in the three months ended March 31, 2026 from $54.4 million in the three months ended March 31, 2025, as last mile delivery costs and products handled increased during the period;</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an increase in rental cost by 27.1% to $21.1 million in the three months ended March 31, 2026 from $16.6 million in the three months ended March 31, 2025 due to more warehousing space and equipment being used for service revenue generating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 xml:space="preserve">an increase in staff cost by 21.4% to $6.8 million in the three months ended March 31, 2026 from $5.6 million in the three months ended March 31, 2025 as our operating staff continued to increase; and </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an increase in other cost of services by 81.8% to $2.0 million in the three months ended March 31, 2026 from $1.1 million in the three months ended March 31, 2025.</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Our cost of products increased by 29.5% to $167.0 million in the three months ended March 31, 2026 from $129.0 million in the three months ended March 31, 2025, primarily due to:</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 xml:space="preserve">an increase in product cost by 27.4% to $128.8 million in the three months ended March 31, 2026 from $101.1 million in the three months ended March 31, 2025 as sales volume and cost per unit increased during the period; </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 xml:space="preserve">an increase in delivery cost by 55.6% to $12.6 million in the three months ended March 31, 2026 from $8.1 million in the three months ended March 31, 2025 as our sales volume and the pricing of delivery increased; </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an increase in staff cost by 38.6% to $7.9 million in the three months ended March 31, 2026 from $5.7 million in the three months ended March 31, 2025 as we increased the number of employees; and</w:t>
      </w:r>
    </w:p>
    <w:p>
      <w:pPr>
        <w:pStyle w:val="TextBody"/>
        <w:bidi w:val="0"/>
        <w:spacing w:lineRule="auto" w:line="288" w:before="120" w:after="120"/>
        <w:ind w:left="0" w:right="0" w:hanging="576"/>
        <w:jc w:val="left"/>
        <w:rPr/>
      </w:pPr>
      <w:r>
        <w:rPr>
          <w:color w:val="000000"/>
        </w:rPr>
        <w:t>◦</w:t>
      </w:r>
      <w:r>
        <w:rPr>
          <w:rFonts w:ascii="Times New Roman;serif" w:hAnsi="Times New Roman;serif"/>
          <w:b w:val="false"/>
          <w:color w:val="000000"/>
          <w:sz w:val="20"/>
        </w:rPr>
        <w:t>an increase in rental costs by 19.7% to $15.2 million in the three months ended March 31, 2026 from $12.7 million in the three months ended March 31, 2025 due to more warehousing space and equipment being used for product revenue generating activities.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and Gross Margin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foregoing, our gross profit increased by 34.7% to $85.8 million in the three months ended March 31, 2026 from $63.7 million in the three months ended March 31, 2025. Our gross margin was 23.9% in the three months ended March 31, 2026 and 23.4% in the three months ended March 31, 2025.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and Marketing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selling and marketing expenses increased by 67.7% to $31.2 million in the three months ended March 31, 2026 from $18.6 million in the three months ended March 31, 2025, which was primarily due to (i) an increase in platform service fee we incurred on certain third-party ecommerce websites by 70.2% to $14.3 million in the three months ended March 31, 2026 from $8.4 million in the three months ended March 31, 2025 as sales volume and sales channels both increased, (ii) an increase in staff cost related to selling and marketing personnel by 68.9% to $12.5 million in the three months ended March 31, 2026 from $7.4 million in the three months ended March 31, 2025 as we increased the number of sales and marketing personnel, (iii) an increase in commission to $0.5 million in the three months ended March 31, 2026 as we incurred increased commission paid to sales and marketing representatives after the New Classic acquisition, and (iv) an increase in other selling and marketing expense by 85.7% to $1.3 million in the three months ended March 31, 2026 from $0.7 million in the three months ended March 31, 2025.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decreased by 31.5% to $9.8 million in the three months ended March 31, 2026 from $14.3 million in the three months ended March 31, 2025, which was primarily due to (i) a decrease in rental expense by 52.8% to $1.4 million in the three months ended March 31, 2026 from $3.0 million in the three months ended March 31, 2025, primarily because the fulfillment centers acquired in previous periods became fully operational and the related expenses were moved from general and administrative expenses to cost of revenues as more warehousing space was utilized for revenue generating activity, (ii) a decrease in professional service expense by 49.3% to $1.5 million in the three months ended March 31, 2026 from $2.9 million in the three months ended March 31, 2025 as we engaged less professional services for our financial and legal advisors compared to the previous period, and (iii) a decrease in donation expense as it was an one-time donation to support the recovery efforts for the Greater Los Angeles wildfire in the three months ended March 31,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$2.4 million in the three months ended March 31, 2026 and $2.5 million in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Losses on Disposal of Property and Equipment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Losses on disposal of property and equipment were $5 thousand in the three months ended March 31, 2026 and $12 thousand in the three months ended March 31, 2025.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was $120 thousand in the three months ended March 31, 2026 and $23 thousand in the three months ended March 31, 2025.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Income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was $3.0 million in the three months ended March 31, 2026 and $2.6 million in the three months ended March 31, 2025.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Currency Exchange Gains / (Losses), Net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exchange losses, net were $0.3 million in the three months ended March 31, 2026, primarily attributable to the fluctuation in foreign currency exchange rates between the U.S. dollar and both the Japanese Yen and the Euro during the period.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Others, net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Others gains, net were $854 thousand in the three months ended March 31, 2026 and $792 thousand in the three months ended March 31,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$7.8 million in the three months ended March 31, 2026 and $5.4 million in the three months ended March 31, 2025, primarily due to higher pre-tax income.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Net Income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foregoing, our net income was $38.1 million in the three months ended March 31, 2026 and $27.1 million in the three months ended March 31, 2025.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Segment Information for the Three Months Ended March 31, 2026</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 of internal reporting and management’s operation review, we do not segregate our business by revenue stream or geography. Our management has determined that our company has one operating segment. See Note 1, Summary of Significant Accounting Policies, in the notes to the unaudited condensed consolidated financial statements included elsewhere in this quarterly report.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consist of property and equipment and operating lease right-of-use assets. The geographic information for long-lived assets as of March 31, 2026 and December 31, 2025 was as follows:</w:t>
      </w:r>
    </w:p>
    <w:tbl>
      <w:tblPr>
        <w:tblW w:w="5545" w:type="dxa"/>
        <w:jc w:val="left"/>
        <w:tblInd w:w="0" w:type="dxa"/>
        <w:tblLayout w:type="fixed"/>
        <w:tblCellMar>
          <w:top w:w="28" w:type="dxa"/>
          <w:left w:w="28" w:type="dxa"/>
          <w:bottom w:w="28" w:type="dxa"/>
          <w:right w:w="28" w:type="dxa"/>
        </w:tblCellMar>
      </w:tblPr>
      <w:tblGrid>
        <w:gridCol w:w="728"/>
        <w:gridCol w:w="639"/>
        <w:gridCol w:w="642"/>
        <w:gridCol w:w="261"/>
        <w:gridCol w:w="1043"/>
        <w:gridCol w:w="135"/>
        <w:gridCol w:w="109"/>
        <w:gridCol w:w="109"/>
        <w:gridCol w:w="109"/>
        <w:gridCol w:w="309"/>
        <w:gridCol w:w="1235"/>
        <w:gridCol w:w="226"/>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long-lived assets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472,690</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463,736</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reported are attributed to geographic areas based on locations of our fulfillment centers, except for platform commission revenues which are attributed to Hong Kong, where the server of GigaCloud Marketplace is located. Revenues by geography for the three months ended March 31, 2026 and 2025 and were as follows: </w:t>
      </w:r>
    </w:p>
    <w:tbl>
      <w:tblPr>
        <w:tblW w:w="5603" w:type="dxa"/>
        <w:jc w:val="left"/>
        <w:tblInd w:w="0" w:type="dxa"/>
        <w:tblLayout w:type="fixed"/>
        <w:tblCellMar>
          <w:top w:w="28" w:type="dxa"/>
          <w:left w:w="28" w:type="dxa"/>
          <w:bottom w:w="28" w:type="dxa"/>
          <w:right w:w="28" w:type="dxa"/>
        </w:tblCellMar>
      </w:tblPr>
      <w:tblGrid>
        <w:gridCol w:w="1052"/>
        <w:gridCol w:w="926"/>
        <w:gridCol w:w="931"/>
        <w:gridCol w:w="211"/>
        <w:gridCol w:w="841"/>
        <w:gridCol w:w="109"/>
        <w:gridCol w:w="109"/>
        <w:gridCol w:w="109"/>
        <w:gridCol w:w="109"/>
        <w:gridCol w:w="211"/>
        <w:gridCol w:w="84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 by geographic regions:</w:t>
            </w:r>
          </w:p>
        </w:tc>
        <w:tc>
          <w:tcPr>
            <w:tcW w:w="26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Platform commission</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Ocean transportation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11,358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Drayage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2,772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Warehousing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Packaging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7,250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Last-mile delivery service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49,244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5,031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242,948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177,838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271,906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(1)    Other regions mainly include the U.K., Japan, Canada and Hong Kong, with variations across different product/ service lines. No other individual region’s revenues exceeded 10% of our total revenues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Non-GAAP Financial Measure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supplement our unaudited condensed consolidated financial statements, which are prepared and presented in accordance with U.S. GAAP, we use certain non-GAAP financial measures, including Adjusted EBITDA and Adjusted EPS – diluted, to understand and evaluate our core operating performance. Adjusted EBITDA is net income excluding interest, income taxes and depreciation and amortization, further adjusted to exclude share-based compensation expenses and non-recurring items. Adjusted EPS – diluted is a financial measure defined as our Adjusted EBITDA divided by our diluted weighted-average shares outstanding. Management uses Adjusted EBITDA and Adjusted EPS – diluted as measures of operating performance, for planning purposes, to allocate resources to enhance the financial performance of our business, to evaluate the effectiveness of our business strategies and in communications with our Board of Directors and investors concerning our financial performance. Non-GAAP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U.S. GAAP. The table below sets forth a reconciliation of Adjusted EBITDA for the periods indicated:</w:t>
      </w:r>
    </w:p>
    <w:tbl>
      <w:tblPr>
        <w:tblW w:w="5919" w:type="dxa"/>
        <w:jc w:val="left"/>
        <w:tblInd w:w="0" w:type="dxa"/>
        <w:tblLayout w:type="fixed"/>
        <w:tblCellMar>
          <w:top w:w="28" w:type="dxa"/>
          <w:left w:w="28" w:type="dxa"/>
          <w:bottom w:w="28" w:type="dxa"/>
          <w:right w:w="28" w:type="dxa"/>
        </w:tblCellMar>
      </w:tblPr>
      <w:tblGrid>
        <w:gridCol w:w="1243"/>
        <w:gridCol w:w="1091"/>
        <w:gridCol w:w="1101"/>
        <w:gridCol w:w="211"/>
        <w:gridCol w:w="736"/>
        <w:gridCol w:w="109"/>
        <w:gridCol w:w="109"/>
        <w:gridCol w:w="109"/>
        <w:gridCol w:w="109"/>
        <w:gridCol w:w="211"/>
        <w:gridCol w:w="73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Share-based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45,624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33,183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reconciliation of Adjusted EPS – diluted for the periods indicated:</w:t>
      </w:r>
    </w:p>
    <w:tbl>
      <w:tblPr>
        <w:tblW w:w="8241" w:type="dxa"/>
        <w:jc w:val="left"/>
        <w:tblInd w:w="0" w:type="dxa"/>
        <w:tblLayout w:type="fixed"/>
        <w:tblCellMar>
          <w:top w:w="28" w:type="dxa"/>
          <w:left w:w="28" w:type="dxa"/>
          <w:bottom w:w="28" w:type="dxa"/>
          <w:right w:w="28" w:type="dxa"/>
        </w:tblCellMar>
      </w:tblPr>
      <w:tblGrid>
        <w:gridCol w:w="1989"/>
        <w:gridCol w:w="1747"/>
        <w:gridCol w:w="1753"/>
        <w:gridCol w:w="309"/>
        <w:gridCol w:w="772"/>
        <w:gridCol w:w="109"/>
        <w:gridCol w:w="109"/>
        <w:gridCol w:w="109"/>
        <w:gridCol w:w="109"/>
        <w:gridCol w:w="309"/>
        <w:gridCol w:w="772"/>
        <w:gridCol w:w="154"/>
      </w:tblGrid>
      <w:tr>
        <w:trPr/>
        <w:tc>
          <w:tcPr>
            <w:tcW w:w="198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per ordinary share – diluted</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per ordinary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and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Share-based compensation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EPS – diluted</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0.83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 -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36,771,570 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40,138,522 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operating and investing activities mainly through cash generated from our business. As of March 31, 2026, we had $330.3 million in cash and cash equivalents, $0.8 million in restricted cash and $32.9 million in short-term investments.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2022, we entered into a two-year credit facility agreement with Wells Fargo Bank, National Association, under which we are able to borrow up to $30 million during the term of the facility. The credit facility also requires us to comply with various customary covenants and other restrictions. In July 2024, we renewed the credit facility with a maturity date of June 30, 2026. As of the date of this quarterly report, we have not made any draw downs from this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we entered into a credit facility agreement for letter of guarantee with China CITIC Bank, or CITIC Bank, under which we are provided with a credit facility not exceeding RMB60 million, commencing from December 2025 to September 2026. As of the date of this quarterly report, we have not made any draw downs from this credit facility.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we have on hand, we may seek to issue equity or equity-linked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cash flows for the periods presented:</w:t>
      </w:r>
    </w:p>
    <w:tbl>
      <w:tblPr>
        <w:tblW w:w="10205" w:type="dxa"/>
        <w:jc w:val="left"/>
        <w:tblInd w:w="0" w:type="dxa"/>
        <w:tblLayout w:type="fixed"/>
        <w:tblCellMar>
          <w:top w:w="28" w:type="dxa"/>
          <w:left w:w="28" w:type="dxa"/>
          <w:bottom w:w="28" w:type="dxa"/>
          <w:right w:w="28" w:type="dxa"/>
        </w:tblCellMar>
      </w:tblPr>
      <w:tblGrid>
        <w:gridCol w:w="2728"/>
        <w:gridCol w:w="2398"/>
        <w:gridCol w:w="2413"/>
        <w:gridCol w:w="211"/>
        <w:gridCol w:w="826"/>
        <w:gridCol w:w="109"/>
        <w:gridCol w:w="109"/>
        <w:gridCol w:w="109"/>
        <w:gridCol w:w="109"/>
        <w:gridCol w:w="211"/>
        <w:gridCol w:w="826"/>
        <w:gridCol w:w="156"/>
      </w:tblGrid>
      <w:tr>
        <w:trPr/>
        <w:tc>
          <w:tcPr>
            <w:tcW w:w="2728"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Summary of Condensed Consolidated Statement of Cash Flow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end of the period</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 the three months ended March 31, 2026 was $21.7 million. This was attributable to net income of $38.1 million, as adjusted by non-cash items and the effects of changes in working capital and other activities. Adjustments to reconcile net income to net cash used in operating activities primarily consisted of (i) changes in inventories of $43.5 million as we increased inventory purchases to support anticipated future sales, (ii) changes in accounts payable, accrued expenses and other current liabilities of $17.4 million as we increased purchases on credit and incurred more VAT in connection with increased sales in Europe, (iii) changes in accounts receivables, net of $10.2 million as customer collections were slower during the period, (iv) changes in income tax payable of $6.5 million as we incurred more income tax during the period, (v) depreciation and amortization of $2.2 million and (vi) other operating activities of $1.7 million.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 the three months ended March 31, 2025 was $9.4 million. This was attributable to net income of $27.1 million, as adjusted by non-cash items and the effects of changes in working capital and other activities. Adjustments to reconcile net income to net cash provided by operating activities primarily consisted of (i) changes in inventories of $30.8 million, (ii) changes in accounts payable, accrued expenses and other current liabilities of $14.6 million, (iii) changes in accounts receivables, net of $9.0 million, (iv) changes in income tax payable of $6.4 million, (v) changes in prepayments and other assets of $3.2 million, (vi) depreciation and amortization of $2.0 million and (vii) changes in deferred income taxes of $1.5 million.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the three months ended March 31, 2026 was $14.8 million, primarily consisting of sales and maturities of investments of $27.8 million, purchases of investments of $24.8 million, acquisitions, net of cash acquired of $13.3 million, and purchases of property and equipment of $4.5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 the three months ended March 31, 2025 was $4.6 million, primarily consisting of sales and maturities of investment of $32.0 million, purchases of investments of $25.0 million and purchases of property and equipment of $2.4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in the three months ended March 31, 2026 was $12.4 million, primarily attributable to repurchase of ordinary shares of $12.3 million.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in the three months ended March 31, 2025 was $22.8 million, primarily attributable to repurchase of ordinary shares of $22.7 million.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13, 2025, the Board approved a new share repurchase program which authorized the repurchase of its Class A ordinary share up to $111.0 million, effective August 17, 2025 for three years. Under the share repurchase program, we may purchase our ordinary shares through various means, including open market transactions, privately negotiated transactions, block trades, any combination thereof or other legally permissible means. We may effect repurchase transactions in compliance with Rule 10b5-1 and Rule 10b-18 of the Securities Exchange Act of 1934, as amended, or the Exchange Act. The number of shares repurchased and the timing of repurchases will depend on a number of factors, including, but not limited to, price, trading volume and general market conditions, along with our working capital requirements, general business conditions and other factors. Our board of directors will review the share repurchase program periodically, and may modify, suspend or terminate the share repurchase program at any time. We plan to fund repurchases from our existing cash balance.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“Part II—Item 2—Unregistered Sales of Equity Securities and Use of Proceeds” of this quarterly report on Form 10-Q for more information.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Capital Resources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consist primarily of purchase of property and equipment. Our capital expenditures were $4.5 million and $2.4 million in the quarter ended March 31, 2026 and 2025, respectively. We intend to fund our future capital expenditures with our existing cash balance, short-term investments and anticipated cash flows from operations. We will continue to make well-planned capital expenditures to meet the expected growth of our business.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Contractual Obligations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contractual obligations as of March 31, 2026:</w:t>
      </w:r>
    </w:p>
    <w:tbl>
      <w:tblPr>
        <w:tblW w:w="7478" w:type="dxa"/>
        <w:jc w:val="left"/>
        <w:tblInd w:w="0" w:type="dxa"/>
        <w:tblLayout w:type="fixed"/>
        <w:tblCellMar>
          <w:top w:w="28" w:type="dxa"/>
          <w:left w:w="28" w:type="dxa"/>
          <w:bottom w:w="28" w:type="dxa"/>
          <w:right w:w="28" w:type="dxa"/>
        </w:tblCellMar>
      </w:tblPr>
      <w:tblGrid>
        <w:gridCol w:w="657"/>
        <w:gridCol w:w="578"/>
        <w:gridCol w:w="580"/>
        <w:gridCol w:w="211"/>
        <w:gridCol w:w="841"/>
        <w:gridCol w:w="109"/>
        <w:gridCol w:w="109"/>
        <w:gridCol w:w="109"/>
        <w:gridCol w:w="109"/>
        <w:gridCol w:w="230"/>
        <w:gridCol w:w="805"/>
        <w:gridCol w:w="119"/>
        <w:gridCol w:w="109"/>
        <w:gridCol w:w="109"/>
        <w:gridCol w:w="109"/>
        <w:gridCol w:w="211"/>
        <w:gridCol w:w="841"/>
        <w:gridCol w:w="109"/>
        <w:gridCol w:w="109"/>
        <w:gridCol w:w="109"/>
        <w:gridCol w:w="109"/>
        <w:gridCol w:w="211"/>
        <w:gridCol w:w="841"/>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Payment Due by Year</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Within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2027 – 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After 2030 </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3"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20"/>
              </w:rPr>
              <w:t>Lease commitment</w:t>
            </w:r>
            <w:r>
              <w:rPr>
                <w:rFonts w:ascii="Times New Roman;serif" w:hAnsi="Times New Roman;serif"/>
                <w:b w:val="false"/>
                <w:color w:val="000000"/>
                <w:sz w:val="16"/>
              </w:rPr>
              <w:t>(1)</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523,605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91,710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321,929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109,966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(1)    Lease commitment consists of the commitments under the lease agreements for our fulfillment centers and storage shelves.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for those disclosed above, we did not have any significant capital or other commitments, long-term obligations, or guarantees as of March 31, 2026.</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Off-Balance Sheet Commitments and Arrangements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unaudited condensed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Holding Company Structure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Cayman Islands currently has no exchange control regulations or currency restrictions which may affect the import or export of capital, including the availability of cash and cash equivalents for use by our company, or the remittance of dividends, interest or other payments to non-resident holders of our securities.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company, GigaCloud Technology Inc, is a holding company incorporated in the Cayman Islands with no material operations of its own. We conduct our operations primarily through our principal subsidiaries. As a result, our ability to pay dividends depends upon dividends paid by our subsidiaries. If our subsidiaries incur debt on their own behalf in the future, the instruments governing their debt may restrict their ability to pay dividends to us.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determined in accordance with local regulations, our subsidiaries in certain of our markets may be restricted from paying us dividends offshore or from transferring a portion of their assets to us, whether in the form of dividends, loans or advances, unless certain requirements are met or regulatory approvals are obtained. In addition, our subsidiaries may be restricted in their ability to pay dividends or distributions or make other transfers to us as a result of the laws of their respective jurisdictions of organization and agreements of our subsidiaries. See “Item 5. Market for Registrant's Common Equity, Related Stockholder Matters and Issuer Purchases of Equity Securities—Dividends” of the 2025 Form 10-K. Even though we currently do not require any such dividends, loans or advances from our entities for working capital and other funding purposes, we may in the future require additional cash resources from them due to changes in business conditions, to fund future acquisitions and development, or merely to declare and pay dividends or distributions to our shareholders.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Trend Information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as disclosed elsewhere in this quarterly report, we are not aware of any known trends, uncertainties, demands, commitments or events for the three months ended March 31, 2026 that are reasonably likely to have a material adverse effect on our net revenues, income, profitability, liquidity or capital resources, or that are reasonably likely to cause a material change in the relationship between costs and revenues, or that would cause reported financial information to be not necessarily indicative of future operating results or financial conditions.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prepare our financial statements in conformity with U.S. GAAP. The preparation of these financial statements requires our management to make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For the three months ended March 31, 2026, we had not identified critical accounting estimates that involve a significant level of estimation uncertainty and would have a material impact on our results. There have been no material changes to our critical accounting policies and estimates as compared to the critical accounting policies and estimates disclosed in the 2025 Form 10-K.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list of recently issued accounting pronouncements that are relevant to us is included in Note 1 “Recent accounting pronouncements” to our unaudited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exposures to market risk since December 31, 2025. See “Part II—Item 7A—Quantitative and Qualitative Disclosures about Market Risk” included in the 2025 Form 10-K for a discussion on our exposures to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Disclosure Controls and Procedures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quarterly report, as required by Rule 13a-15(b) under the Exchange Act. Our disclosure controls and procedures are designed to ensure that the information required to be disclosed in the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to allow timely decisions regarding required disclosure. Any controls and procedures, no matter how well designed and operated, can provide only reasonable assurance of achieving the desired control objective.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that evaluation, our management has concluded that, as of March 31, 2026, our disclosure controls and procedures were effective, in design and operation, at a reasonable assurance level.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fiscal quarter ended March 31, 2026 that have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360" w:after="120"/>
        <w:ind w:left="0" w:right="0" w:firstLine="1102"/>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claims that arise during the ordinary course of business. Regardless of the outcome, litigation can be costly and time-consuming, as it can divert management’s attention from important business matters and initiatives, negatively impacting our overall operations. In addition, we may also find ourselves at greater risk to outside party claims as we increase our operations in jurisdictions where the laws with respect to the potential liability of online retailers are uncertain, unfavorable or unclear.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presently a party to any other legal or regulatory proceedings that in the opinion of our management, if determined adversely to us, would individually or taken together have a material adverse effect on our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risks and uncertainties that could, directly or indirectly, adversely affect our business, results of operations, financial condition, liquidity, cash flows, strategies, and/or prospects. We have reviewed the risk factors appeared in “Part I—Item 1A—Risk Factors” in the 2025 Form 10-K, and, except as presented below, there have been no material changes in our risk factors previously disclosed in the 2025 Form 10-K.</w:t>
      </w:r>
    </w:p>
    <w:p>
      <w:pPr>
        <w:pStyle w:val="TextBody"/>
        <w:bidi w:val="0"/>
        <w:spacing w:lineRule="auto" w:line="288" w:before="120" w:after="120"/>
        <w:jc w:val="left"/>
        <w:rPr/>
      </w:pPr>
      <w:r>
        <w:rPr>
          <w:rFonts w:ascii="Times New Roman;serif" w:hAnsi="Times New Roman;serif"/>
          <w:b/>
          <w:i/>
          <w:color w:val="000000"/>
          <w:sz w:val="20"/>
        </w:rPr>
        <w:t>We recorded net cash outflows from operating activities in the three months ended March 31, 2026</w:t>
      </w:r>
      <w:r>
        <w:rPr>
          <w:color w:val="000000"/>
        </w:rPr>
        <w:t xml:space="preserve"> </w:t>
      </w:r>
      <w:r>
        <w:rPr>
          <w:rFonts w:ascii="Times New Roman;serif" w:hAnsi="Times New Roman;serif"/>
          <w:b/>
          <w:i/>
          <w:color w:val="000000"/>
          <w:sz w:val="20"/>
        </w:rPr>
        <w:t>and may experience significant cash outflows in the future.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recorded net cash outflows from operating activities in the three months ended March 31, 2026. We recorded net cash used in operating activities of $21.7 million in the three months ended March 31, 2026, compared to net cash provided by operating activities of $9.4 million in the three months ended March 31, 2025. The net cash outflows in the three months ended March 31, 2026 were primarily due to timing difference in the recording of our operating assets and liabilities. In particular, we increased inventory purchases to support anticipated future sales and changes in working capital, including a reduction in accounts payable, accrued expenses, and other current liabilities. These changes were driven in part by shorter payment terms and reduced utilization of supplier credit arrangements following the New Classic acquisition. See “Item 2. Management’s Discussion and Analysis of Financial Condition and Results of Operations—Liquidity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procure inventories and invest in additional warehouses and logistics infrastructure to further expand our business which may increase our cash outflows, and there can be no assurance that we will successfully execute our business strategies. If our anticipated sales do not materialize or if we are unable to efficiently manage our inventory and supplier payment terms, we may experience further operating cash outflows from operating activities in the future.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ability to generate sufficient cash from operations depends on a number of factors, many of which are beyond our control, including the demand for our products and services, transportation and fuel costs, inflationary pressures, competitive conditions, and overall macroeconomic trends as well as other risks discussed herein. If revenues do not grow as expected or if we are unable to adequately control the costs associated with our operations, we may experience losses and negative 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that taking into account cash on hand and our operating cash flows, we have sufficient working capital for our present requirements and for at least the next 12 months from the date of this report. However, we may need additional capital resources in the future if we experience changes in business condition or other unanticipated developments, or if we wish to pursue opportunities for investments, acquisitions, capital expenditures or similar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13, 2025, the Board approved a new share repurchase program which authorized the repurchase of its Class A ordinary share up to $111.0 million, effective August 17, 2025 for three years.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share repurchase program, we may purchase our ordinary shares through various means, including open market transactions, privately negotiated transactions, block trades, any combination thereof or other legally permissible means.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effect repurchase transactions in compliance with Rule 10b5-1 and Rule 10b-18 of the Exchange Act. The number of shares repurchased and the timing of repurchases will depend on a number of factors, including, but not limited to, price, trading volume and general market conditions, along with our working capital requirements, general business conditions and other factors. Our board of directors will review the share repurchase program periodically, and may modify, suspend or terminate the share repurchase program at any time. We plan to fund repurchases from our existing cash balance.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details of our share repurchase transactions during the quarter ended March 31, 2026:</w:t>
      </w:r>
    </w:p>
    <w:tbl>
      <w:tblPr>
        <w:tblW w:w="10205" w:type="dxa"/>
        <w:jc w:val="left"/>
        <w:tblInd w:w="0" w:type="dxa"/>
        <w:tblLayout w:type="fixed"/>
        <w:tblCellMar>
          <w:top w:w="28" w:type="dxa"/>
          <w:left w:w="28" w:type="dxa"/>
          <w:bottom w:w="28" w:type="dxa"/>
          <w:right w:w="28" w:type="dxa"/>
        </w:tblCellMar>
      </w:tblPr>
      <w:tblGrid>
        <w:gridCol w:w="556"/>
        <w:gridCol w:w="428"/>
        <w:gridCol w:w="430"/>
        <w:gridCol w:w="485"/>
        <w:gridCol w:w="485"/>
        <w:gridCol w:w="486"/>
        <w:gridCol w:w="109"/>
        <w:gridCol w:w="109"/>
        <w:gridCol w:w="109"/>
        <w:gridCol w:w="298"/>
        <w:gridCol w:w="872"/>
        <w:gridCol w:w="154"/>
        <w:gridCol w:w="109"/>
        <w:gridCol w:w="109"/>
        <w:gridCol w:w="109"/>
        <w:gridCol w:w="763"/>
        <w:gridCol w:w="763"/>
        <w:gridCol w:w="765"/>
        <w:gridCol w:w="109"/>
        <w:gridCol w:w="109"/>
        <w:gridCol w:w="109"/>
        <w:gridCol w:w="530"/>
        <w:gridCol w:w="1813"/>
        <w:gridCol w:w="396"/>
      </w:tblGrid>
      <w:tr>
        <w:trPr/>
        <w:tc>
          <w:tcPr>
            <w:tcW w:w="5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Period</w:t>
            </w:r>
          </w:p>
        </w:tc>
        <w:tc>
          <w:tcPr>
            <w:tcW w:w="14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Maximum dollar value of shares that may yet be purchased under the program (in thousand)</w:t>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78,215 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77,613 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77,358 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14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304,321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304,321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and (b) None.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 During the three months ended March 31, 2026, no director or officer of our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2"/>
        <w:gridCol w:w="275"/>
        <w:gridCol w:w="276"/>
        <w:gridCol w:w="109"/>
        <w:gridCol w:w="109"/>
        <w:gridCol w:w="109"/>
        <w:gridCol w:w="2693"/>
        <w:gridCol w:w="2645"/>
        <w:gridCol w:w="3677"/>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rtificationbyp.htm">
              <w:r>
                <w:rPr>
                  <w:rStyle w:val="InternetLink"/>
                  <w:rFonts w:ascii="Times New Roman;serif" w:hAnsi="Times New Roman;serif"/>
                  <w:b w:val="false"/>
                  <w:color w:val="0000FF"/>
                  <w:sz w:val="20"/>
                  <w:u w:val="single"/>
                </w:rPr>
                <w:t xml:space="preserve">Certification by Principal Executive Officer Pursuant to Section 302 of the Sarbanes-Oxley Act of 2002 </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ertificationbyp.htm">
              <w:r>
                <w:rPr>
                  <w:rStyle w:val="InternetLink"/>
                  <w:rFonts w:ascii="Times New Roman;serif" w:hAnsi="Times New Roman;serif"/>
                  <w:b w:val="false"/>
                  <w:color w:val="0000FF"/>
                  <w:sz w:val="20"/>
                  <w:u w:val="single"/>
                </w:rPr>
                <w:t xml:space="preserve">Certification by Principal Financial Officer Pursuant to Section 302 of the Sarbanes-Oxley Act of 2002 </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rtificationbyt.htm">
              <w:r>
                <w:rPr>
                  <w:rStyle w:val="InternetLink"/>
                  <w:rFonts w:ascii="Times New Roman;serif" w:hAnsi="Times New Roman;serif"/>
                  <w:b w:val="false"/>
                  <w:color w:val="0000FF"/>
                  <w:sz w:val="20"/>
                  <w:u w:val="single"/>
                </w:rPr>
                <w:t xml:space="preserve">Certification by the Principal Executive Officer pursuant to Section 906 of the Sarbanes-Oxley Act of 2002 </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certificationbyp.htm">
              <w:r>
                <w:rPr>
                  <w:rStyle w:val="InternetLink"/>
                  <w:rFonts w:ascii="Times New Roman;serif" w:hAnsi="Times New Roman;serif"/>
                  <w:b w:val="false"/>
                  <w:color w:val="0000FF"/>
                  <w:sz w:val="20"/>
                  <w:u w:val="single"/>
                </w:rPr>
                <w:t xml:space="preserve">Certification by the Principal Financial Officer pursuant to Section 906 of the Sarbanes-Oxley Act of 2002 </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Exhibit 101 Inline XBRL document)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Furnished herewith. This certification is deemed not “filed” by us for purposes of Section 18 of the Exchange Act , or otherwise subject to the liability of that section. This certification will not be deemed to be incorporated by reference into any filing under the Securities Act of 1933, as amended, or the Exchange Act, except to the extent that we specifically incorporate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360" w:after="12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120" w:after="120"/>
        <w:ind w:left="0" w:right="0" w:firstLine="1102"/>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81" w:type="dxa"/>
        <w:jc w:val="left"/>
        <w:tblInd w:w="0" w:type="dxa"/>
        <w:tblLayout w:type="fixed"/>
        <w:tblCellMar>
          <w:top w:w="28" w:type="dxa"/>
          <w:left w:w="28" w:type="dxa"/>
          <w:bottom w:w="28" w:type="dxa"/>
          <w:right w:w="28" w:type="dxa"/>
        </w:tblCellMar>
      </w:tblPr>
      <w:tblGrid>
        <w:gridCol w:w="124"/>
        <w:gridCol w:w="109"/>
        <w:gridCol w:w="109"/>
        <w:gridCol w:w="370"/>
        <w:gridCol w:w="370"/>
        <w:gridCol w:w="370"/>
        <w:gridCol w:w="1400"/>
        <w:gridCol w:w="1400"/>
        <w:gridCol w:w="2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GigaCloud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Larry Lei Wu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Larry Lei Wu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 and duly Authorized Officer)</w:t>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tbl>
      <w:tblPr>
        <w:tblW w:w="7646" w:type="dxa"/>
        <w:jc w:val="left"/>
        <w:tblInd w:w="0" w:type="dxa"/>
        <w:tblLayout w:type="fixed"/>
        <w:tblCellMar>
          <w:top w:w="28" w:type="dxa"/>
          <w:left w:w="28" w:type="dxa"/>
          <w:bottom w:w="28" w:type="dxa"/>
          <w:right w:w="28" w:type="dxa"/>
        </w:tblCellMar>
      </w:tblPr>
      <w:tblGrid>
        <w:gridCol w:w="124"/>
        <w:gridCol w:w="109"/>
        <w:gridCol w:w="109"/>
        <w:gridCol w:w="370"/>
        <w:gridCol w:w="370"/>
        <w:gridCol w:w="370"/>
        <w:gridCol w:w="1796"/>
        <w:gridCol w:w="1796"/>
        <w:gridCol w:w="26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GigaCloud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Erica Xiaoyang Wei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Erica Xiaoyang Wei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 and duly Authorized Officer)</w:t>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51460"/>
                <wp:effectExtent l="0" t="0" r="0" b="0"/>
                <wp:wrapNone/>
                <wp:docPr id="51" name="Frame5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Principal Executive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Larry Lei Wu, certify that: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GigaCloud Technology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left"/>
        <w:rPr/>
      </w:pPr>
      <w:r>
        <w:rPr/>
      </w:r>
    </w:p>
    <w:p>
      <w:pPr>
        <w:pStyle w:val="TextBody"/>
        <w:bidi w:val="0"/>
        <w:spacing w:lineRule="auto" w:line="268" w:before="0" w:after="0"/>
        <w:ind w:left="0" w:right="0" w:firstLine="504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Larry Lei Wu</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Name: Larry Lei Wu</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spacing w:lineRule="auto" w:line="268"/>
        <w:ind w:left="0" w:right="0" w:firstLine="504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Principal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Xiaoyang Wei, certify that: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GigaCloud Technology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Xiaoyang Wei</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Name: Xiaoyang Wei</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lineRule="auto" w:line="268"/>
        <w:ind w:left="0" w:right="0" w:firstLine="504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GigaCloud Technology Inc (the “Company”) on Form 10-Q for the quarter ended March 31, 2026 as filed with the Securities and Exchange Commission on the date hereof (the “Report”), I, Larry Lei Wu, Chief Executive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Larry Lei Wu</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Name: Larry Lei Wu</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spacing w:lineRule="auto" w:line="268" w:before="0" w:after="0"/>
        <w:ind w:left="0" w:right="0" w:firstLine="504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Principal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GigaCloud Technology Inc (the “Company”) on Form 10-Q for the quarter ended March 31, 2026 as filed with the Securities and Exchange Commission on the date hereof (the “Report”), I, Xiaoyang Wei, Chief Financial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04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Xiaoyang Wei</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Name: Xiaoyang Wei</w:t>
      </w:r>
    </w:p>
    <w:p>
      <w:pPr>
        <w:pStyle w:val="TextBody"/>
        <w:bidi w:val="0"/>
        <w:spacing w:lineRule="auto" w:line="268" w:before="0" w:after="0"/>
        <w:ind w:left="0" w:right="0" w:firstLine="504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lineRule="auto" w:line="268" w:before="0" w:after="0"/>
        <w:ind w:left="0" w:right="0" w:firstLine="504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19713</Words>
  <Characters>110416</Characters>
  <CharactersWithSpaces>128818</CharactersWithSpaces>
  <Paragraphs>2889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